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62EDF">
      <w:pPr>
        <w:pStyle w:val="12"/>
        <w:shd w:val="clear" w:color="auto" w:fill="FFFFFF"/>
        <w:spacing w:before="0" w:beforeAutospacing="0" w:after="0" w:afterAutospacing="0"/>
        <w:jc w:val="both"/>
        <w:rPr>
          <w:rFonts w:ascii="Arial" w:hAnsi="Arial" w:cs="Arial"/>
          <w:sz w:val="22"/>
          <w:szCs w:val="22"/>
        </w:rPr>
      </w:pPr>
      <w:r>
        <w:rPr>
          <w:rFonts w:ascii="Arial" w:hAnsi="Arial" w:cs="Arial"/>
          <w:sz w:val="22"/>
          <w:szCs w:val="22"/>
        </w:rPr>
        <w:t>Na temelju članka 13. Općih uvjeta isporuke komunalne usluge javnih tržnica na malo</w:t>
      </w:r>
      <w:r>
        <w:rPr>
          <w:rFonts w:ascii="Arial" w:hAnsi="Arial" w:cs="Arial"/>
          <w:bCs/>
          <w:sz w:val="22"/>
          <w:szCs w:val="22"/>
        </w:rPr>
        <w:t xml:space="preserve"> na području Općine Dubrovačko primorje, Primorsko komunalno društvo d.o.o. dana </w:t>
      </w:r>
      <w:r>
        <w:rPr>
          <w:rFonts w:hint="default" w:ascii="Arial" w:hAnsi="Arial" w:cs="Arial"/>
          <w:bCs/>
          <w:sz w:val="22"/>
          <w:szCs w:val="22"/>
          <w:lang w:val="hr-HR"/>
        </w:rPr>
        <w:t>07</w:t>
      </w:r>
      <w:r>
        <w:rPr>
          <w:rFonts w:ascii="Arial" w:hAnsi="Arial" w:cs="Arial"/>
          <w:bCs/>
          <w:sz w:val="22"/>
          <w:szCs w:val="22"/>
        </w:rPr>
        <w:t xml:space="preserve">. </w:t>
      </w:r>
      <w:r>
        <w:rPr>
          <w:rFonts w:hint="default" w:ascii="Arial" w:hAnsi="Arial" w:cs="Arial"/>
          <w:bCs/>
          <w:sz w:val="22"/>
          <w:szCs w:val="22"/>
          <w:lang w:val="hr-HR"/>
        </w:rPr>
        <w:t>listopada</w:t>
      </w:r>
      <w:r>
        <w:rPr>
          <w:rFonts w:ascii="Arial" w:hAnsi="Arial" w:cs="Arial"/>
          <w:bCs/>
          <w:sz w:val="22"/>
          <w:szCs w:val="22"/>
        </w:rPr>
        <w:t xml:space="preserve">  202</w:t>
      </w:r>
      <w:r>
        <w:rPr>
          <w:rFonts w:hint="default" w:ascii="Arial" w:hAnsi="Arial" w:cs="Arial"/>
          <w:bCs/>
          <w:sz w:val="22"/>
          <w:szCs w:val="22"/>
          <w:lang w:val="hr-HR"/>
        </w:rPr>
        <w:t>6</w:t>
      </w:r>
      <w:r>
        <w:rPr>
          <w:rFonts w:ascii="Arial" w:hAnsi="Arial" w:cs="Arial"/>
          <w:bCs/>
          <w:sz w:val="22"/>
          <w:szCs w:val="22"/>
        </w:rPr>
        <w:t xml:space="preserve">.g. </w:t>
      </w:r>
      <w:r>
        <w:rPr>
          <w:rFonts w:ascii="Arial" w:hAnsi="Arial" w:cs="Arial"/>
          <w:sz w:val="22"/>
          <w:szCs w:val="22"/>
        </w:rPr>
        <w:t>(dalje u tekstu: Društvo) objavljuje sljedeći:</w:t>
      </w:r>
    </w:p>
    <w:p w14:paraId="27AB114F">
      <w:pPr>
        <w:pStyle w:val="12"/>
        <w:shd w:val="clear" w:color="auto" w:fill="FFFFFF"/>
        <w:spacing w:before="0" w:beforeAutospacing="0" w:after="0" w:afterAutospacing="0"/>
        <w:jc w:val="both"/>
        <w:rPr>
          <w:rFonts w:ascii="Arial" w:hAnsi="Arial" w:cs="Arial"/>
          <w:sz w:val="20"/>
          <w:szCs w:val="20"/>
        </w:rPr>
      </w:pPr>
    </w:p>
    <w:p w14:paraId="48977BA7">
      <w:pPr>
        <w:pStyle w:val="12"/>
        <w:shd w:val="clear" w:color="auto" w:fill="FFFFFF"/>
        <w:tabs>
          <w:tab w:val="center" w:pos="4513"/>
          <w:tab w:val="left" w:pos="5970"/>
        </w:tabs>
        <w:spacing w:before="0" w:beforeAutospacing="0" w:after="0" w:afterAutospacing="0"/>
        <w:jc w:val="center"/>
        <w:rPr>
          <w:rFonts w:ascii="Arial" w:hAnsi="Arial" w:cs="Arial"/>
          <w:b/>
        </w:rPr>
      </w:pPr>
      <w:r>
        <w:rPr>
          <w:rFonts w:ascii="Arial" w:hAnsi="Arial" w:cs="Arial"/>
          <w:b/>
        </w:rPr>
        <w:t>JAVNI NATJEČAJ</w:t>
      </w:r>
    </w:p>
    <w:p w14:paraId="79D82411">
      <w:pPr>
        <w:pStyle w:val="12"/>
        <w:shd w:val="clear" w:color="auto" w:fill="FFFFFF"/>
        <w:spacing w:before="0" w:beforeAutospacing="0" w:after="0" w:afterAutospacing="0"/>
        <w:jc w:val="center"/>
        <w:rPr>
          <w:rFonts w:ascii="Arial" w:hAnsi="Arial" w:cs="Arial"/>
          <w:b/>
        </w:rPr>
      </w:pPr>
      <w:r>
        <w:rPr>
          <w:rFonts w:ascii="Arial" w:hAnsi="Arial" w:cs="Arial"/>
          <w:b/>
        </w:rPr>
        <w:t>ZA DAVANJE U GODIŠNJI ZAKUP PRODAJNIH MJESTA NA</w:t>
      </w:r>
    </w:p>
    <w:p w14:paraId="5AFB3D91">
      <w:pPr>
        <w:pStyle w:val="12"/>
        <w:shd w:val="clear" w:color="auto" w:fill="FFFFFF"/>
        <w:spacing w:before="0" w:beforeAutospacing="0" w:after="0" w:afterAutospacing="0"/>
        <w:jc w:val="center"/>
        <w:rPr>
          <w:rFonts w:ascii="Arial" w:hAnsi="Arial" w:cs="Arial"/>
          <w:b/>
        </w:rPr>
      </w:pPr>
      <w:r>
        <w:rPr>
          <w:rFonts w:ascii="Arial" w:hAnsi="Arial" w:cs="Arial"/>
          <w:b/>
        </w:rPr>
        <w:t>TRŽNICI U SLANOMU</w:t>
      </w:r>
    </w:p>
    <w:p w14:paraId="21FC54A1">
      <w:pPr>
        <w:pStyle w:val="12"/>
        <w:shd w:val="clear" w:color="auto" w:fill="FFFFFF"/>
        <w:spacing w:before="0" w:beforeAutospacing="0" w:after="0" w:afterAutospacing="0"/>
        <w:jc w:val="center"/>
        <w:rPr>
          <w:rFonts w:hint="default" w:ascii="Arial" w:hAnsi="Arial" w:cs="Arial"/>
          <w:b/>
          <w:sz w:val="20"/>
          <w:szCs w:val="20"/>
          <w:lang w:val="hr-HR"/>
        </w:rPr>
      </w:pPr>
      <w:r>
        <w:rPr>
          <w:rFonts w:ascii="Arial" w:hAnsi="Arial" w:cs="Arial"/>
          <w:b/>
          <w:sz w:val="20"/>
          <w:szCs w:val="20"/>
        </w:rPr>
        <w:t xml:space="preserve">Ev. broj </w:t>
      </w:r>
      <w:r>
        <w:rPr>
          <w:rFonts w:hint="default" w:ascii="Arial" w:hAnsi="Arial" w:cs="Arial"/>
          <w:b/>
          <w:sz w:val="20"/>
          <w:szCs w:val="20"/>
          <w:lang w:val="hr-HR"/>
        </w:rPr>
        <w:t>1</w:t>
      </w:r>
      <w:r>
        <w:rPr>
          <w:rFonts w:ascii="Arial" w:hAnsi="Arial" w:cs="Arial"/>
          <w:b/>
          <w:sz w:val="20"/>
          <w:szCs w:val="20"/>
        </w:rPr>
        <w:t>-202</w:t>
      </w:r>
      <w:r>
        <w:rPr>
          <w:rFonts w:hint="default" w:ascii="Arial" w:hAnsi="Arial" w:cs="Arial"/>
          <w:b/>
          <w:sz w:val="20"/>
          <w:szCs w:val="20"/>
          <w:lang w:val="hr-HR"/>
        </w:rPr>
        <w:t>6</w:t>
      </w:r>
    </w:p>
    <w:p w14:paraId="62137C5C">
      <w:pPr>
        <w:pStyle w:val="12"/>
        <w:shd w:val="clear" w:color="auto" w:fill="FFFFFF"/>
        <w:spacing w:before="0" w:beforeAutospacing="0" w:after="0" w:afterAutospacing="0"/>
        <w:jc w:val="both"/>
        <w:rPr>
          <w:rFonts w:ascii="Arial" w:hAnsi="Arial" w:cs="Arial"/>
          <w:b/>
          <w:sz w:val="20"/>
          <w:szCs w:val="20"/>
        </w:rPr>
      </w:pPr>
    </w:p>
    <w:p w14:paraId="0A29937D">
      <w:pPr>
        <w:pStyle w:val="12"/>
        <w:shd w:val="clear" w:color="auto" w:fill="FFFFFF"/>
        <w:spacing w:before="0" w:beforeAutospacing="0" w:after="0" w:afterAutospacing="0"/>
        <w:jc w:val="both"/>
        <w:rPr>
          <w:rFonts w:ascii="Arial" w:hAnsi="Arial" w:cs="Arial"/>
          <w:b/>
        </w:rPr>
      </w:pPr>
      <w:r>
        <w:rPr>
          <w:rFonts w:ascii="Arial" w:hAnsi="Arial" w:cs="Arial"/>
          <w:b/>
        </w:rPr>
        <w:t xml:space="preserve">I. PODACI O </w:t>
      </w:r>
      <w:r>
        <w:rPr>
          <w:rFonts w:ascii="Arial" w:hAnsi="Arial" w:cs="Arial"/>
          <w:b/>
          <w:color w:val="000000" w:themeColor="text1"/>
          <w14:textFill>
            <w14:solidFill>
              <w14:schemeClr w14:val="tx1"/>
            </w14:solidFill>
          </w14:textFill>
        </w:rPr>
        <w:t xml:space="preserve">PRODAJNIM MJESTIMA </w:t>
      </w:r>
      <w:r>
        <w:rPr>
          <w:rFonts w:ascii="Arial" w:hAnsi="Arial" w:cs="Arial"/>
          <w:b/>
        </w:rPr>
        <w:t>ZA KOJA SE OBJAVLJUJE JAVNI  NATJEČAJ:</w:t>
      </w:r>
    </w:p>
    <w:p w14:paraId="7CE381ED">
      <w:pPr>
        <w:pStyle w:val="12"/>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Podaci o </w:t>
      </w:r>
      <w:r>
        <w:rPr>
          <w:rFonts w:ascii="Arial" w:hAnsi="Arial" w:cs="Arial"/>
          <w:color w:val="000000" w:themeColor="text1"/>
          <w:sz w:val="22"/>
          <w:szCs w:val="22"/>
          <w14:textFill>
            <w14:solidFill>
              <w14:schemeClr w14:val="tx1"/>
            </w14:solidFill>
          </w14:textFill>
        </w:rPr>
        <w:t xml:space="preserve">prodajnim mjestima </w:t>
      </w:r>
      <w:r>
        <w:rPr>
          <w:rFonts w:ascii="Arial" w:hAnsi="Arial" w:cs="Arial"/>
          <w:sz w:val="22"/>
          <w:szCs w:val="22"/>
        </w:rPr>
        <w:t xml:space="preserve">na tržnicama za koje se objavljuje javni natječaj sadržani su u priloženom planu  </w:t>
      </w:r>
      <w:r>
        <w:fldChar w:fldCharType="begin"/>
      </w:r>
      <w:r>
        <w:instrText xml:space="preserve"> HYPERLINK "PLAN%20%201.pdf" </w:instrText>
      </w:r>
      <w:r>
        <w:fldChar w:fldCharType="separate"/>
      </w:r>
      <w:r>
        <w:rPr>
          <w:rStyle w:val="11"/>
          <w:rFonts w:ascii="Arial" w:hAnsi="Arial" w:cs="Arial"/>
          <w:sz w:val="22"/>
          <w:szCs w:val="22"/>
        </w:rPr>
        <w:t>PLAN  1.pdf</w:t>
      </w:r>
      <w:r>
        <w:rPr>
          <w:rStyle w:val="11"/>
          <w:rFonts w:ascii="Arial" w:hAnsi="Arial" w:cs="Arial"/>
          <w:sz w:val="22"/>
          <w:szCs w:val="22"/>
        </w:rPr>
        <w:fldChar w:fldCharType="end"/>
      </w:r>
      <w:r>
        <w:rPr>
          <w:rFonts w:ascii="Arial" w:hAnsi="Arial" w:cs="Arial"/>
          <w:sz w:val="22"/>
          <w:szCs w:val="22"/>
        </w:rPr>
        <w:t xml:space="preserve">  i cjeniku, a isti su kako slijedi:</w:t>
      </w:r>
    </w:p>
    <w:p w14:paraId="751C6D14">
      <w:pPr>
        <w:pStyle w:val="12"/>
        <w:numPr>
          <w:ilvl w:val="0"/>
          <w:numId w:val="1"/>
        </w:numPr>
        <w:shd w:val="clear" w:color="auto" w:fill="FFFFFF"/>
        <w:spacing w:before="0" w:beforeAutospacing="0" w:after="0" w:afterAutospacing="0"/>
        <w:jc w:val="both"/>
        <w:rPr>
          <w:rFonts w:ascii="Arial" w:hAnsi="Arial" w:cs="Arial"/>
          <w:color w:val="FF0000"/>
          <w:sz w:val="22"/>
          <w:szCs w:val="22"/>
        </w:rPr>
      </w:pPr>
      <w:r>
        <w:rPr>
          <w:rFonts w:ascii="Arial" w:hAnsi="Arial" w:cs="Arial"/>
          <w:sz w:val="22"/>
          <w:szCs w:val="22"/>
        </w:rPr>
        <w:t>tržnica, lokacija, vrsta prodajnog mjesta, interna oznaka poslovnog prostora, naziv</w:t>
      </w:r>
    </w:p>
    <w:p w14:paraId="673F50D5">
      <w:pPr>
        <w:pStyle w:val="12"/>
        <w:shd w:val="clear" w:color="auto" w:fill="FFFFFF"/>
        <w:spacing w:before="0" w:beforeAutospacing="0" w:after="0" w:afterAutospacing="0"/>
        <w:ind w:left="1434"/>
        <w:jc w:val="both"/>
        <w:rPr>
          <w:rFonts w:ascii="Arial" w:hAnsi="Arial" w:cs="Arial"/>
          <w:sz w:val="22"/>
          <w:szCs w:val="22"/>
        </w:rPr>
      </w:pPr>
      <w:r>
        <w:rPr>
          <w:rFonts w:ascii="Arial" w:hAnsi="Arial" w:cs="Arial"/>
          <w:sz w:val="22"/>
          <w:szCs w:val="22"/>
        </w:rPr>
        <w:t xml:space="preserve">skice, </w:t>
      </w:r>
    </w:p>
    <w:p w14:paraId="125AAD7B">
      <w:pPr>
        <w:pStyle w:val="12"/>
        <w:numPr>
          <w:ilvl w:val="0"/>
          <w:numId w:val="1"/>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početni iznos zakupnine za </w:t>
      </w:r>
      <w:r>
        <w:rPr>
          <w:rFonts w:ascii="Arial" w:hAnsi="Arial" w:cs="Arial"/>
          <w:color w:val="000000" w:themeColor="text1"/>
          <w:sz w:val="22"/>
          <w:szCs w:val="22"/>
          <w14:textFill>
            <w14:solidFill>
              <w14:schemeClr w14:val="tx1"/>
            </w14:solidFill>
          </w14:textFill>
        </w:rPr>
        <w:t>prodajno mjesto</w:t>
      </w:r>
      <w:r>
        <w:rPr>
          <w:rFonts w:ascii="Arial" w:hAnsi="Arial" w:cs="Arial"/>
          <w:sz w:val="22"/>
          <w:szCs w:val="22"/>
        </w:rPr>
        <w:t xml:space="preserve">, određen u </w:t>
      </w:r>
      <w:r>
        <w:rPr>
          <w:rFonts w:hint="default" w:ascii="Arial" w:hAnsi="Arial" w:cs="Arial"/>
          <w:sz w:val="22"/>
          <w:szCs w:val="22"/>
          <w:lang w:val="hr-HR"/>
        </w:rPr>
        <w:t>eurima</w:t>
      </w:r>
      <w:r>
        <w:rPr>
          <w:rFonts w:ascii="Arial" w:hAnsi="Arial" w:cs="Arial"/>
          <w:sz w:val="22"/>
          <w:szCs w:val="22"/>
        </w:rPr>
        <w:t xml:space="preserve"> </w:t>
      </w:r>
      <w:bookmarkStart w:id="0" w:name="_Hlk507646802"/>
    </w:p>
    <w:p w14:paraId="45DEEC65">
      <w:pPr>
        <w:pStyle w:val="12"/>
        <w:numPr>
          <w:ilvl w:val="0"/>
          <w:numId w:val="1"/>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iznos jamčevine koju na račun Društva treba uplatiti svaki ponuditelj za svako pojedino prodajno mjesto za koje se natječe, </w:t>
      </w:r>
      <w:r>
        <w:rPr>
          <w:rFonts w:ascii="Arial" w:hAnsi="Arial" w:cs="Arial"/>
          <w:b/>
          <w:sz w:val="22"/>
          <w:szCs w:val="22"/>
        </w:rPr>
        <w:t>jednak je iznosu od 3 (tri) početne mjesečne zakupnine i</w:t>
      </w:r>
      <w:r>
        <w:rPr>
          <w:rFonts w:ascii="Arial" w:hAnsi="Arial" w:cs="Arial"/>
          <w:sz w:val="22"/>
          <w:szCs w:val="22"/>
        </w:rPr>
        <w:t xml:space="preserve"> </w:t>
      </w:r>
      <w:r>
        <w:rPr>
          <w:rFonts w:ascii="Arial" w:hAnsi="Arial" w:cs="Arial"/>
          <w:b/>
          <w:sz w:val="22"/>
          <w:szCs w:val="22"/>
        </w:rPr>
        <w:t>obračunatog iznosa PDV-a.</w:t>
      </w:r>
    </w:p>
    <w:p w14:paraId="03002D8A">
      <w:pPr>
        <w:pStyle w:val="12"/>
        <w:shd w:val="clear" w:color="auto" w:fill="FFFFFF"/>
        <w:spacing w:before="0" w:beforeAutospacing="0" w:after="0" w:afterAutospacing="0"/>
        <w:jc w:val="both"/>
        <w:rPr>
          <w:rFonts w:ascii="Arial" w:hAnsi="Arial" w:cs="Arial"/>
          <w:b/>
          <w:color w:val="FF0000"/>
          <w:sz w:val="20"/>
          <w:szCs w:val="20"/>
        </w:rPr>
      </w:pPr>
    </w:p>
    <w:p w14:paraId="5D32FB09">
      <w:pPr>
        <w:pStyle w:val="12"/>
        <w:shd w:val="clear" w:color="auto" w:fill="FFFFFF"/>
        <w:spacing w:before="0" w:beforeAutospacing="0" w:after="0" w:afterAutospacing="0"/>
        <w:jc w:val="both"/>
        <w:rPr>
          <w:rFonts w:ascii="Arial" w:hAnsi="Arial" w:cs="Arial"/>
          <w:b/>
          <w:color w:val="000000" w:themeColor="text1"/>
          <w14:textFill>
            <w14:solidFill>
              <w14:schemeClr w14:val="tx1"/>
            </w14:solidFill>
          </w14:textFill>
        </w:rPr>
      </w:pPr>
      <w:r>
        <w:rPr>
          <w:rFonts w:ascii="Arial" w:hAnsi="Arial" w:cs="Arial"/>
          <w:b/>
        </w:rPr>
        <w:t xml:space="preserve">II. RAZGLED OGLAŠENIH </w:t>
      </w:r>
      <w:r>
        <w:rPr>
          <w:rFonts w:ascii="Arial" w:hAnsi="Arial" w:cs="Arial"/>
          <w:b/>
          <w:color w:val="000000" w:themeColor="text1"/>
          <w14:textFill>
            <w14:solidFill>
              <w14:schemeClr w14:val="tx1"/>
            </w14:solidFill>
          </w14:textFill>
        </w:rPr>
        <w:t>PRODAJNIH MJESTA:</w:t>
      </w:r>
    </w:p>
    <w:p w14:paraId="3ABD568F">
      <w:pPr>
        <w:pStyle w:val="12"/>
        <w:shd w:val="clear" w:color="auto" w:fill="FFFFFF"/>
        <w:spacing w:before="0" w:beforeAutospacing="0" w:after="0" w:afterAutospacing="0"/>
        <w:jc w:val="both"/>
        <w:rPr>
          <w:rFonts w:ascii="Arial" w:hAnsi="Arial" w:cs="Arial"/>
          <w:b/>
          <w:i/>
          <w:sz w:val="22"/>
          <w:szCs w:val="22"/>
          <w:u w:val="single"/>
        </w:rPr>
      </w:pPr>
      <w:r>
        <w:rPr>
          <w:rFonts w:ascii="Arial" w:hAnsi="Arial" w:cs="Arial"/>
          <w:sz w:val="22"/>
          <w:szCs w:val="22"/>
        </w:rPr>
        <w:t xml:space="preserve">Prodajna mjesta iz ovog javnog natječaja mogu se razgledati svaki radni dan, od ponedjeljka do petka počevši od </w:t>
      </w:r>
      <w:r>
        <w:rPr>
          <w:rFonts w:hint="default" w:ascii="Arial" w:hAnsi="Arial" w:cs="Arial"/>
          <w:b/>
          <w:bCs/>
          <w:sz w:val="22"/>
          <w:szCs w:val="22"/>
          <w:lang w:val="hr-HR"/>
        </w:rPr>
        <w:t>08</w:t>
      </w:r>
      <w:r>
        <w:rPr>
          <w:rFonts w:ascii="Arial" w:hAnsi="Arial" w:cs="Arial"/>
          <w:b/>
          <w:bCs/>
          <w:sz w:val="22"/>
          <w:szCs w:val="22"/>
        </w:rPr>
        <w:t>.</w:t>
      </w:r>
      <w:r>
        <w:rPr>
          <w:rFonts w:hint="default" w:ascii="Arial" w:hAnsi="Arial" w:cs="Arial"/>
          <w:b/>
          <w:sz w:val="22"/>
          <w:szCs w:val="22"/>
          <w:lang w:val="hr-HR"/>
        </w:rPr>
        <w:t>10</w:t>
      </w:r>
      <w:r>
        <w:rPr>
          <w:rFonts w:ascii="Arial" w:hAnsi="Arial" w:cs="Arial"/>
          <w:b/>
          <w:sz w:val="22"/>
          <w:szCs w:val="22"/>
        </w:rPr>
        <w:t>.202</w:t>
      </w:r>
      <w:r>
        <w:rPr>
          <w:rFonts w:hint="default" w:ascii="Arial" w:hAnsi="Arial" w:cs="Arial"/>
          <w:b/>
          <w:sz w:val="22"/>
          <w:szCs w:val="22"/>
          <w:lang w:val="hr-HR"/>
        </w:rPr>
        <w:t>6</w:t>
      </w:r>
      <w:r>
        <w:rPr>
          <w:rFonts w:ascii="Arial" w:hAnsi="Arial" w:cs="Arial"/>
          <w:b/>
          <w:color w:val="000000" w:themeColor="text1"/>
          <w:sz w:val="22"/>
          <w:szCs w:val="22"/>
          <w14:textFill>
            <w14:solidFill>
              <w14:schemeClr w14:val="tx1"/>
            </w14:solidFill>
          </w14:textFill>
        </w:rPr>
        <w:t>.</w:t>
      </w:r>
      <w:r>
        <w:rPr>
          <w:rFonts w:ascii="Arial" w:hAnsi="Arial" w:cs="Arial"/>
          <w:color w:val="000000" w:themeColor="text1"/>
          <w:sz w:val="22"/>
          <w:szCs w:val="22"/>
          <w14:textFill>
            <w14:solidFill>
              <w14:schemeClr w14:val="tx1"/>
            </w14:solidFill>
          </w14:textFill>
        </w:rPr>
        <w:t xml:space="preserve"> </w:t>
      </w:r>
      <w:r>
        <w:rPr>
          <w:rFonts w:ascii="Arial" w:hAnsi="Arial" w:cs="Arial"/>
          <w:sz w:val="22"/>
          <w:szCs w:val="22"/>
        </w:rPr>
        <w:t xml:space="preserve">pa zaključno do </w:t>
      </w:r>
      <w:r>
        <w:rPr>
          <w:rFonts w:hint="default" w:ascii="Arial" w:hAnsi="Arial" w:cs="Arial"/>
          <w:b/>
          <w:bCs/>
          <w:sz w:val="22"/>
          <w:szCs w:val="22"/>
          <w:lang w:val="hr-HR"/>
        </w:rPr>
        <w:t>16.10.</w:t>
      </w:r>
      <w:r>
        <w:rPr>
          <w:rFonts w:ascii="Arial" w:hAnsi="Arial" w:cs="Arial"/>
          <w:b/>
          <w:bCs/>
          <w:sz w:val="22"/>
          <w:szCs w:val="22"/>
        </w:rPr>
        <w:t>202</w:t>
      </w:r>
      <w:r>
        <w:rPr>
          <w:rFonts w:hint="default" w:ascii="Arial" w:hAnsi="Arial" w:cs="Arial"/>
          <w:b/>
          <w:bCs/>
          <w:sz w:val="22"/>
          <w:szCs w:val="22"/>
          <w:lang w:val="hr-HR"/>
        </w:rPr>
        <w:t>6</w:t>
      </w:r>
      <w:r>
        <w:rPr>
          <w:rFonts w:ascii="Arial" w:hAnsi="Arial" w:cs="Arial"/>
          <w:b/>
          <w:bCs/>
          <w:sz w:val="22"/>
          <w:szCs w:val="22"/>
        </w:rPr>
        <w:t>.</w:t>
      </w:r>
      <w:r>
        <w:rPr>
          <w:rFonts w:ascii="Arial" w:hAnsi="Arial" w:cs="Arial"/>
          <w:b/>
          <w:color w:val="000000" w:themeColor="text1"/>
          <w:sz w:val="22"/>
          <w:szCs w:val="22"/>
          <w14:textFill>
            <w14:solidFill>
              <w14:schemeClr w14:val="tx1"/>
            </w14:solidFill>
          </w14:textFill>
        </w:rPr>
        <w:t xml:space="preserve"> god</w:t>
      </w:r>
      <w:r>
        <w:rPr>
          <w:rFonts w:ascii="Arial" w:hAnsi="Arial" w:cs="Arial"/>
          <w:color w:val="000000" w:themeColor="text1"/>
          <w:sz w:val="22"/>
          <w:szCs w:val="22"/>
          <w14:textFill>
            <w14:solidFill>
              <w14:schemeClr w14:val="tx1"/>
            </w14:solidFill>
          </w14:textFill>
        </w:rPr>
        <w:t xml:space="preserve">., od </w:t>
      </w:r>
      <w:r>
        <w:rPr>
          <w:rFonts w:hint="default" w:ascii="Arial" w:hAnsi="Arial" w:cs="Arial"/>
          <w:color w:val="000000" w:themeColor="text1"/>
          <w:sz w:val="22"/>
          <w:szCs w:val="22"/>
          <w:lang w:val="hr-HR"/>
          <w14:textFill>
            <w14:solidFill>
              <w14:schemeClr w14:val="tx1"/>
            </w14:solidFill>
          </w14:textFill>
        </w:rPr>
        <w:t>8</w:t>
      </w:r>
      <w:r>
        <w:rPr>
          <w:rFonts w:ascii="Arial" w:hAnsi="Arial" w:cs="Arial"/>
          <w:color w:val="000000" w:themeColor="text1"/>
          <w:sz w:val="22"/>
          <w:szCs w:val="22"/>
          <w14:textFill>
            <w14:solidFill>
              <w14:schemeClr w14:val="tx1"/>
            </w14:solidFill>
          </w14:textFill>
        </w:rPr>
        <w:t xml:space="preserve"> do 1</w:t>
      </w:r>
      <w:r>
        <w:rPr>
          <w:rFonts w:hint="default" w:ascii="Arial" w:hAnsi="Arial" w:cs="Arial"/>
          <w:color w:val="000000" w:themeColor="text1"/>
          <w:sz w:val="22"/>
          <w:szCs w:val="22"/>
          <w:lang w:val="hr-HR"/>
          <w14:textFill>
            <w14:solidFill>
              <w14:schemeClr w14:val="tx1"/>
            </w14:solidFill>
          </w14:textFill>
        </w:rPr>
        <w:t>4</w:t>
      </w:r>
      <w:r>
        <w:rPr>
          <w:rFonts w:ascii="Arial" w:hAnsi="Arial" w:cs="Arial"/>
          <w:color w:val="000000" w:themeColor="text1"/>
          <w:sz w:val="22"/>
          <w:szCs w:val="22"/>
          <w14:textFill>
            <w14:solidFill>
              <w14:schemeClr w14:val="tx1"/>
            </w14:solidFill>
          </w14:textFill>
        </w:rPr>
        <w:t xml:space="preserve"> sati </w:t>
      </w:r>
      <w:r>
        <w:rPr>
          <w:rFonts w:ascii="Arial" w:hAnsi="Arial" w:cs="Arial"/>
          <w:sz w:val="22"/>
          <w:szCs w:val="22"/>
        </w:rPr>
        <w:t>uz, prema potrebi, prethodnu najavu na telefon:</w:t>
      </w:r>
      <w:r>
        <w:rPr>
          <w:rFonts w:ascii="Arial" w:hAnsi="Arial" w:cs="Arial"/>
          <w:b/>
          <w:sz w:val="22"/>
          <w:szCs w:val="22"/>
        </w:rPr>
        <w:t xml:space="preserve">   020 871 088</w:t>
      </w:r>
    </w:p>
    <w:p w14:paraId="32C226D7">
      <w:pPr>
        <w:pStyle w:val="12"/>
        <w:shd w:val="clear" w:color="auto" w:fill="FFFFFF"/>
        <w:spacing w:before="0" w:beforeAutospacing="0" w:after="0" w:afterAutospacing="0"/>
        <w:jc w:val="both"/>
        <w:rPr>
          <w:rFonts w:ascii="Arial" w:hAnsi="Arial" w:cs="Arial"/>
          <w:i/>
          <w:sz w:val="22"/>
          <w:szCs w:val="22"/>
        </w:rPr>
      </w:pPr>
    </w:p>
    <w:p w14:paraId="4F657240">
      <w:pPr>
        <w:pStyle w:val="12"/>
        <w:shd w:val="clear" w:color="auto" w:fill="FFFFFF"/>
        <w:spacing w:before="0" w:beforeAutospacing="0" w:after="0" w:afterAutospacing="0"/>
        <w:jc w:val="both"/>
        <w:rPr>
          <w:rFonts w:ascii="Arial" w:hAnsi="Arial" w:cs="Arial"/>
          <w:i/>
          <w:sz w:val="22"/>
          <w:szCs w:val="22"/>
        </w:rPr>
      </w:pPr>
      <w:r>
        <w:rPr>
          <w:rFonts w:ascii="Arial" w:hAnsi="Arial" w:cs="Arial"/>
          <w:i/>
          <w:sz w:val="22"/>
          <w:szCs w:val="22"/>
        </w:rPr>
        <w:t xml:space="preserve">Iznimno, kada za to postoji opravdani razlog, pojedino </w:t>
      </w:r>
      <w:r>
        <w:rPr>
          <w:rFonts w:ascii="Arial" w:hAnsi="Arial" w:cs="Arial"/>
          <w:i/>
          <w:color w:val="000000" w:themeColor="text1"/>
          <w:sz w:val="22"/>
          <w:szCs w:val="22"/>
          <w14:textFill>
            <w14:solidFill>
              <w14:schemeClr w14:val="tx1"/>
            </w14:solidFill>
          </w14:textFill>
        </w:rPr>
        <w:t xml:space="preserve">prodajno mjesto </w:t>
      </w:r>
      <w:r>
        <w:rPr>
          <w:rFonts w:ascii="Arial" w:hAnsi="Arial" w:cs="Arial"/>
          <w:i/>
          <w:sz w:val="22"/>
          <w:szCs w:val="22"/>
        </w:rPr>
        <w:t>može se razgledati i u drugo vrijeme ako za isto postoje organizacijske mogućnosti u Društvu.</w:t>
      </w:r>
    </w:p>
    <w:p w14:paraId="035C41C5">
      <w:pPr>
        <w:pStyle w:val="12"/>
        <w:shd w:val="clear" w:color="auto" w:fill="FFFFFF"/>
        <w:spacing w:before="0" w:beforeAutospacing="0" w:after="0" w:afterAutospacing="0"/>
        <w:jc w:val="both"/>
        <w:rPr>
          <w:rFonts w:ascii="Arial" w:hAnsi="Arial" w:cs="Arial"/>
          <w:sz w:val="20"/>
          <w:szCs w:val="20"/>
        </w:rPr>
      </w:pPr>
    </w:p>
    <w:p w14:paraId="2130F05F">
      <w:pPr>
        <w:pStyle w:val="12"/>
        <w:shd w:val="clear" w:color="auto" w:fill="FFFFFF"/>
        <w:spacing w:before="0" w:beforeAutospacing="0" w:after="0" w:afterAutospacing="0"/>
        <w:jc w:val="both"/>
        <w:rPr>
          <w:rFonts w:ascii="Arial" w:hAnsi="Arial" w:cs="Arial"/>
          <w:b/>
        </w:rPr>
      </w:pPr>
      <w:r>
        <w:rPr>
          <w:rFonts w:ascii="Arial" w:hAnsi="Arial" w:cs="Arial"/>
          <w:b/>
        </w:rPr>
        <w:t>III. PLAĆANJE JAMČEVINE:</w:t>
      </w:r>
    </w:p>
    <w:p w14:paraId="25C051C3">
      <w:pPr>
        <w:pStyle w:val="12"/>
        <w:shd w:val="clear" w:color="auto" w:fill="FFFFFF"/>
        <w:spacing w:before="0" w:beforeAutospacing="0" w:after="0" w:afterAutospacing="0"/>
        <w:jc w:val="both"/>
        <w:rPr>
          <w:rFonts w:ascii="Arial" w:hAnsi="Arial" w:cs="Arial"/>
          <w:sz w:val="22"/>
          <w:szCs w:val="22"/>
        </w:rPr>
      </w:pPr>
      <w:r>
        <w:rPr>
          <w:rFonts w:ascii="Arial" w:hAnsi="Arial" w:cs="Arial"/>
          <w:sz w:val="22"/>
          <w:szCs w:val="22"/>
        </w:rPr>
        <w:t>Iznos jamčevine svaki ponuditelj dužan je uplatiti na račun Društva, zaključno s</w:t>
      </w:r>
      <w:r>
        <w:rPr>
          <w:rFonts w:hint="default" w:ascii="Arial" w:hAnsi="Arial" w:cs="Arial"/>
          <w:sz w:val="22"/>
          <w:szCs w:val="22"/>
          <w:lang w:val="hr-HR"/>
        </w:rPr>
        <w:t xml:space="preserve"> </w:t>
      </w:r>
      <w:r>
        <w:rPr>
          <w:rFonts w:hint="default" w:ascii="Arial" w:hAnsi="Arial" w:cs="Arial"/>
          <w:b/>
          <w:bCs/>
          <w:sz w:val="22"/>
          <w:szCs w:val="22"/>
          <w:lang w:val="hr-HR"/>
        </w:rPr>
        <w:t>16</w:t>
      </w:r>
      <w:r>
        <w:rPr>
          <w:rFonts w:ascii="Arial" w:hAnsi="Arial" w:cs="Arial"/>
          <w:b/>
          <w:sz w:val="22"/>
          <w:szCs w:val="22"/>
        </w:rPr>
        <w:t>.</w:t>
      </w:r>
      <w:r>
        <w:rPr>
          <w:rFonts w:hint="default" w:ascii="Arial" w:hAnsi="Arial" w:cs="Arial"/>
          <w:b/>
          <w:sz w:val="22"/>
          <w:szCs w:val="22"/>
          <w:lang w:val="hr-HR"/>
        </w:rPr>
        <w:t>10</w:t>
      </w:r>
      <w:r>
        <w:rPr>
          <w:rFonts w:ascii="Arial" w:hAnsi="Arial" w:cs="Arial"/>
          <w:b/>
          <w:sz w:val="22"/>
          <w:szCs w:val="22"/>
        </w:rPr>
        <w:t>.</w:t>
      </w:r>
      <w:r>
        <w:rPr>
          <w:rFonts w:ascii="Arial" w:hAnsi="Arial" w:cs="Arial"/>
          <w:b/>
          <w:i/>
          <w:color w:val="000000" w:themeColor="text1"/>
          <w:sz w:val="22"/>
          <w:szCs w:val="22"/>
          <w14:textFill>
            <w14:solidFill>
              <w14:schemeClr w14:val="tx1"/>
            </w14:solidFill>
          </w14:textFill>
        </w:rPr>
        <w:t>202</w:t>
      </w:r>
      <w:r>
        <w:rPr>
          <w:rFonts w:hint="default" w:ascii="Arial" w:hAnsi="Arial" w:cs="Arial"/>
          <w:b/>
          <w:i/>
          <w:color w:val="000000" w:themeColor="text1"/>
          <w:sz w:val="22"/>
          <w:szCs w:val="22"/>
          <w:lang w:val="hr-HR"/>
          <w14:textFill>
            <w14:solidFill>
              <w14:schemeClr w14:val="tx1"/>
            </w14:solidFill>
          </w14:textFill>
        </w:rPr>
        <w:t>6</w:t>
      </w:r>
      <w:r>
        <w:rPr>
          <w:rFonts w:ascii="Arial" w:hAnsi="Arial" w:cs="Arial"/>
          <w:b/>
          <w:i/>
          <w:color w:val="000000" w:themeColor="text1"/>
          <w:sz w:val="22"/>
          <w:szCs w:val="22"/>
          <w14:textFill>
            <w14:solidFill>
              <w14:schemeClr w14:val="tx1"/>
            </w14:solidFill>
          </w14:textFill>
        </w:rPr>
        <w:t>. (</w:t>
      </w:r>
      <w:r>
        <w:rPr>
          <w:rFonts w:hint="default" w:ascii="Arial" w:hAnsi="Arial" w:cs="Arial"/>
          <w:b/>
          <w:i/>
          <w:color w:val="000000" w:themeColor="text1"/>
          <w:sz w:val="22"/>
          <w:szCs w:val="22"/>
          <w:lang w:val="hr-HR"/>
          <w14:textFill>
            <w14:solidFill>
              <w14:schemeClr w14:val="tx1"/>
            </w14:solidFill>
          </w14:textFill>
        </w:rPr>
        <w:t>petak</w:t>
      </w:r>
      <w:r>
        <w:rPr>
          <w:rFonts w:ascii="Arial" w:hAnsi="Arial" w:cs="Arial"/>
          <w:b/>
          <w:i/>
          <w:color w:val="000000" w:themeColor="text1"/>
          <w:sz w:val="22"/>
          <w:szCs w:val="22"/>
          <w14:textFill>
            <w14:solidFill>
              <w14:schemeClr w14:val="tx1"/>
            </w14:solidFill>
          </w14:textFill>
        </w:rPr>
        <w:t>)</w:t>
      </w:r>
      <w:r>
        <w:rPr>
          <w:rFonts w:ascii="Arial" w:hAnsi="Arial" w:cs="Arial"/>
          <w:b/>
          <w:i/>
          <w:sz w:val="22"/>
          <w:szCs w:val="22"/>
        </w:rPr>
        <w:t xml:space="preserve">, </w:t>
      </w:r>
      <w:r>
        <w:rPr>
          <w:rFonts w:ascii="Arial" w:hAnsi="Arial" w:cs="Arial"/>
          <w:sz w:val="22"/>
          <w:szCs w:val="22"/>
        </w:rPr>
        <w:t xml:space="preserve">kako slijedi: </w:t>
      </w:r>
    </w:p>
    <w:p w14:paraId="7CF5CEAE">
      <w:pPr>
        <w:pStyle w:val="12"/>
        <w:shd w:val="clear" w:color="auto" w:fill="FFFFFF"/>
        <w:spacing w:before="0" w:beforeAutospacing="0" w:after="0" w:afterAutospacing="0"/>
        <w:jc w:val="both"/>
        <w:rPr>
          <w:rFonts w:ascii="Arial" w:hAnsi="Arial" w:cs="Arial"/>
          <w:b/>
          <w:i/>
          <w:color w:val="000000" w:themeColor="text1"/>
          <w:sz w:val="22"/>
          <w:szCs w:val="22"/>
          <w14:textFill>
            <w14:solidFill>
              <w14:schemeClr w14:val="tx1"/>
            </w14:solidFill>
          </w14:textFill>
        </w:rPr>
      </w:pPr>
      <w:r>
        <w:rPr>
          <w:rFonts w:ascii="Arial" w:hAnsi="Arial" w:cs="Arial"/>
          <w:b/>
          <w:sz w:val="22"/>
          <w:szCs w:val="22"/>
        </w:rPr>
        <w:t>I</w:t>
      </w:r>
      <w:r>
        <w:rPr>
          <w:rFonts w:ascii="Arial" w:hAnsi="Arial" w:cs="Arial"/>
          <w:b/>
          <w:color w:val="000000"/>
          <w:sz w:val="22"/>
          <w:szCs w:val="22"/>
        </w:rPr>
        <w:t xml:space="preserve">BAN: </w:t>
      </w:r>
      <w:r>
        <w:rPr>
          <w:rFonts w:ascii="Arial" w:hAnsi="Arial" w:eastAsia="Calibri" w:cs="Arial"/>
          <w:b/>
          <w:color w:val="000000"/>
          <w:sz w:val="22"/>
          <w:szCs w:val="22"/>
          <w:lang w:eastAsia="en-US"/>
        </w:rPr>
        <w:t xml:space="preserve">HR59 2484 0081 1067 8694 1  kod </w:t>
      </w:r>
      <w:r>
        <w:rPr>
          <w:rFonts w:ascii="Arial" w:hAnsi="Arial" w:eastAsia="Calibri" w:cs="Arial"/>
          <w:b/>
          <w:sz w:val="22"/>
          <w:szCs w:val="22"/>
          <w:lang w:eastAsia="en-US"/>
        </w:rPr>
        <w:t>Raiffeisenbank Austria d.d. Zagreb.</w:t>
      </w:r>
    </w:p>
    <w:p w14:paraId="7E61E3CA">
      <w:pPr>
        <w:pStyle w:val="12"/>
        <w:shd w:val="clear" w:color="auto" w:fill="FFFFFF"/>
        <w:spacing w:before="0" w:beforeAutospacing="0" w:after="0" w:afterAutospacing="0"/>
        <w:jc w:val="both"/>
        <w:rPr>
          <w:rFonts w:ascii="Arial" w:hAnsi="Arial" w:cs="Arial"/>
          <w:b/>
          <w:bCs/>
          <w:sz w:val="22"/>
          <w:szCs w:val="22"/>
        </w:rPr>
      </w:pPr>
      <w:r>
        <w:rPr>
          <w:rFonts w:ascii="Arial" w:hAnsi="Arial" w:cs="Arial"/>
          <w:b/>
          <w:bCs/>
          <w:sz w:val="22"/>
          <w:szCs w:val="22"/>
        </w:rPr>
        <w:t>Svrha uplate: “Jamčevina  za prodajno mjesto interne oznake: (prema planu prodajnih mjesta iz priloga ovog natječaja) natječaja za Tržnicu Slano.“</w:t>
      </w:r>
    </w:p>
    <w:p w14:paraId="5CE74683">
      <w:pPr>
        <w:pStyle w:val="12"/>
        <w:shd w:val="clear" w:color="auto" w:fill="FFFFFF"/>
        <w:spacing w:before="0" w:beforeAutospacing="0" w:after="0" w:afterAutospacing="0"/>
        <w:jc w:val="both"/>
        <w:rPr>
          <w:rFonts w:ascii="Arial" w:hAnsi="Arial" w:cs="Arial"/>
          <w:sz w:val="22"/>
          <w:szCs w:val="22"/>
        </w:rPr>
      </w:pPr>
      <w:r>
        <w:rPr>
          <w:rFonts w:ascii="Arial" w:hAnsi="Arial" w:cs="Arial"/>
          <w:sz w:val="22"/>
          <w:szCs w:val="22"/>
        </w:rPr>
        <w:t>Jamčevinu uplaćuje isključivo ponuditelj putem naloga za plaćanje (nalog za plaćanje ovjeren od pošte, banke ili FINA-e da je uplata izvršena ili potvrda o plaćanju internet bankarstvom).</w:t>
      </w:r>
    </w:p>
    <w:bookmarkEnd w:id="0"/>
    <w:p w14:paraId="246CAD10">
      <w:pPr>
        <w:pStyle w:val="12"/>
        <w:shd w:val="clear" w:color="auto" w:fill="FFFFFF"/>
        <w:spacing w:before="0" w:beforeAutospacing="0" w:after="0" w:afterAutospacing="0"/>
        <w:jc w:val="both"/>
        <w:rPr>
          <w:rFonts w:ascii="Arial" w:hAnsi="Arial" w:cs="Arial"/>
          <w:b/>
          <w:sz w:val="22"/>
          <w:szCs w:val="22"/>
        </w:rPr>
      </w:pPr>
    </w:p>
    <w:p w14:paraId="74884BA2">
      <w:pPr>
        <w:pStyle w:val="12"/>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Pri uplati postupiti kako slijedi: </w:t>
      </w:r>
    </w:p>
    <w:p w14:paraId="638C7A32">
      <w:pPr>
        <w:pStyle w:val="12"/>
        <w:shd w:val="clear" w:color="auto" w:fill="FFFFFF"/>
        <w:spacing w:before="0" w:beforeAutospacing="0" w:after="0" w:afterAutospacing="0"/>
        <w:jc w:val="both"/>
        <w:rPr>
          <w:rFonts w:ascii="Arial" w:hAnsi="Arial" w:cs="Arial"/>
          <w:b/>
          <w:sz w:val="20"/>
          <w:szCs w:val="20"/>
        </w:rPr>
      </w:pPr>
    </w:p>
    <w:p w14:paraId="5A82F66B">
      <w:pPr>
        <w:pStyle w:val="12"/>
        <w:shd w:val="clear" w:color="auto" w:fill="FFFFFF"/>
        <w:spacing w:before="0" w:beforeAutospacing="0" w:after="0" w:afterAutospacing="0"/>
        <w:rPr>
          <w:rFonts w:ascii="Arial" w:hAnsi="Arial" w:cs="Arial"/>
          <w:b/>
          <w:sz w:val="20"/>
          <w:szCs w:val="20"/>
        </w:rPr>
      </w:pPr>
      <w:r>
        <w:rPr>
          <w:rFonts w:ascii="Arial" w:hAnsi="Arial" w:cs="Arial"/>
          <w:b/>
          <w:sz w:val="20"/>
          <w:szCs w:val="20"/>
        </w:rPr>
        <w:t xml:space="preserve">Fizička ili pravna osoba :   poziv na broj:   </w:t>
      </w:r>
      <w:r>
        <w:rPr>
          <w:rFonts w:ascii="Arial" w:hAnsi="Arial" w:cs="Arial"/>
          <w:b/>
          <w:sz w:val="20"/>
          <w:szCs w:val="20"/>
          <w:bdr w:val="single" w:color="auto" w:sz="4" w:space="0"/>
        </w:rPr>
        <w:t xml:space="preserve">00 </w:t>
      </w:r>
      <w:r>
        <w:rPr>
          <w:rFonts w:ascii="Arial" w:hAnsi="Arial" w:cs="Arial"/>
          <w:b/>
          <w:sz w:val="20"/>
          <w:szCs w:val="20"/>
        </w:rPr>
        <w:t xml:space="preserve">     </w:t>
      </w:r>
      <w:r>
        <w:rPr>
          <w:rFonts w:ascii="Arial" w:hAnsi="Arial" w:cs="Arial"/>
          <w:b/>
          <w:sz w:val="20"/>
          <w:szCs w:val="20"/>
          <w:bdr w:val="single" w:color="auto" w:sz="4" w:space="0"/>
        </w:rPr>
        <w:t>OIB  PONUDITELJA</w:t>
      </w:r>
    </w:p>
    <w:p w14:paraId="36E24F77">
      <w:pPr>
        <w:pStyle w:val="12"/>
        <w:shd w:val="clear" w:color="auto" w:fill="FFFFFF"/>
        <w:spacing w:before="0" w:beforeAutospacing="0" w:after="0" w:afterAutospacing="0"/>
        <w:jc w:val="both"/>
        <w:rPr>
          <w:rFonts w:ascii="Arial" w:hAnsi="Arial" w:cs="Arial"/>
          <w:b/>
          <w:color w:val="FF0000"/>
          <w:sz w:val="20"/>
          <w:szCs w:val="20"/>
          <w:u w:val="single"/>
        </w:rPr>
      </w:pPr>
    </w:p>
    <w:p w14:paraId="59F846B4">
      <w:pPr>
        <w:pStyle w:val="12"/>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VRIJEME ZA DOSTAVU PISANIH PONUDA:</w:t>
      </w:r>
    </w:p>
    <w:p w14:paraId="00784491">
      <w:pPr>
        <w:pStyle w:val="12"/>
        <w:shd w:val="clear" w:color="auto" w:fill="FFFFFF"/>
        <w:spacing w:before="0" w:beforeAutospacing="0" w:after="0" w:afterAutospacing="0"/>
        <w:jc w:val="both"/>
        <w:rPr>
          <w:rFonts w:ascii="Arial" w:hAnsi="Arial" w:cs="Arial"/>
          <w:b/>
          <w:i/>
          <w:color w:val="000000" w:themeColor="text1"/>
          <w:sz w:val="20"/>
          <w:szCs w:val="20"/>
          <w:u w:val="single"/>
          <w14:textFill>
            <w14:solidFill>
              <w14:schemeClr w14:val="tx1"/>
            </w14:solidFill>
          </w14:textFill>
        </w:rPr>
      </w:pPr>
      <w:r>
        <w:rPr>
          <w:rFonts w:ascii="Arial" w:hAnsi="Arial" w:cs="Arial"/>
          <w:sz w:val="20"/>
          <w:szCs w:val="20"/>
        </w:rPr>
        <w:t xml:space="preserve">Pisana ponuda može se dostaviti počevši od </w:t>
      </w:r>
      <w:r>
        <w:rPr>
          <w:rFonts w:hint="default" w:ascii="Arial" w:hAnsi="Arial" w:cs="Arial"/>
          <w:b/>
          <w:bCs/>
          <w:sz w:val="20"/>
          <w:szCs w:val="20"/>
          <w:lang w:val="hr-HR"/>
        </w:rPr>
        <w:t>08</w:t>
      </w:r>
      <w:r>
        <w:rPr>
          <w:rFonts w:ascii="Arial" w:hAnsi="Arial" w:cs="Arial"/>
          <w:b/>
          <w:sz w:val="20"/>
          <w:szCs w:val="20"/>
          <w:u w:val="single"/>
        </w:rPr>
        <w:t>.</w:t>
      </w:r>
      <w:r>
        <w:rPr>
          <w:rFonts w:hint="default" w:ascii="Arial" w:hAnsi="Arial" w:cs="Arial"/>
          <w:b/>
          <w:sz w:val="20"/>
          <w:szCs w:val="20"/>
          <w:u w:val="single"/>
          <w:lang w:val="hr-HR"/>
        </w:rPr>
        <w:t>10</w:t>
      </w:r>
      <w:r>
        <w:rPr>
          <w:rFonts w:ascii="Arial" w:hAnsi="Arial" w:cs="Arial"/>
          <w:b/>
          <w:sz w:val="20"/>
          <w:szCs w:val="20"/>
          <w:u w:val="single"/>
        </w:rPr>
        <w:t>.202</w:t>
      </w:r>
      <w:r>
        <w:rPr>
          <w:rFonts w:hint="default" w:ascii="Arial" w:hAnsi="Arial" w:cs="Arial"/>
          <w:b/>
          <w:sz w:val="20"/>
          <w:szCs w:val="20"/>
          <w:u w:val="single"/>
          <w:lang w:val="hr-HR"/>
        </w:rPr>
        <w:t>6</w:t>
      </w:r>
      <w:r>
        <w:rPr>
          <w:rFonts w:ascii="Arial" w:hAnsi="Arial" w:cs="Arial"/>
          <w:b/>
          <w:i/>
          <w:color w:val="000000" w:themeColor="text1"/>
          <w:sz w:val="20"/>
          <w:szCs w:val="20"/>
          <w:u w:val="single"/>
          <w14:textFill>
            <w14:solidFill>
              <w14:schemeClr w14:val="tx1"/>
            </w14:solidFill>
          </w14:textFill>
        </w:rPr>
        <w:t xml:space="preserve">. a zaključno sa </w:t>
      </w:r>
      <w:r>
        <w:rPr>
          <w:rFonts w:hint="default" w:ascii="Arial" w:hAnsi="Arial" w:cs="Arial"/>
          <w:b/>
          <w:i/>
          <w:color w:val="000000" w:themeColor="text1"/>
          <w:sz w:val="20"/>
          <w:szCs w:val="20"/>
          <w:u w:val="single"/>
          <w:lang w:val="hr-HR"/>
          <w14:textFill>
            <w14:solidFill>
              <w14:schemeClr w14:val="tx1"/>
            </w14:solidFill>
          </w14:textFill>
        </w:rPr>
        <w:t>16</w:t>
      </w:r>
      <w:r>
        <w:rPr>
          <w:rFonts w:ascii="Arial" w:hAnsi="Arial" w:cs="Arial"/>
          <w:b/>
          <w:i/>
          <w:color w:val="000000" w:themeColor="text1"/>
          <w:sz w:val="20"/>
          <w:szCs w:val="20"/>
          <w:u w:val="single"/>
          <w14:textFill>
            <w14:solidFill>
              <w14:schemeClr w14:val="tx1"/>
            </w14:solidFill>
          </w14:textFill>
        </w:rPr>
        <w:t>.</w:t>
      </w:r>
      <w:r>
        <w:rPr>
          <w:rFonts w:hint="default" w:ascii="Arial" w:hAnsi="Arial" w:cs="Arial"/>
          <w:b/>
          <w:i/>
          <w:color w:val="000000" w:themeColor="text1"/>
          <w:sz w:val="20"/>
          <w:szCs w:val="20"/>
          <w:u w:val="single"/>
          <w:lang w:val="hr-HR"/>
          <w14:textFill>
            <w14:solidFill>
              <w14:schemeClr w14:val="tx1"/>
            </w14:solidFill>
          </w14:textFill>
        </w:rPr>
        <w:t>10</w:t>
      </w:r>
      <w:r>
        <w:rPr>
          <w:rFonts w:ascii="Arial" w:hAnsi="Arial" w:cs="Arial"/>
          <w:b/>
          <w:i/>
          <w:color w:val="000000" w:themeColor="text1"/>
          <w:sz w:val="20"/>
          <w:szCs w:val="20"/>
          <w:u w:val="single"/>
          <w14:textFill>
            <w14:solidFill>
              <w14:schemeClr w14:val="tx1"/>
            </w14:solidFill>
          </w14:textFill>
        </w:rPr>
        <w:t>.202</w:t>
      </w:r>
      <w:r>
        <w:rPr>
          <w:rFonts w:hint="default" w:ascii="Arial" w:hAnsi="Arial" w:cs="Arial"/>
          <w:b/>
          <w:i/>
          <w:color w:val="000000" w:themeColor="text1"/>
          <w:sz w:val="20"/>
          <w:szCs w:val="20"/>
          <w:u w:val="single"/>
          <w:lang w:val="hr-HR"/>
          <w14:textFill>
            <w14:solidFill>
              <w14:schemeClr w14:val="tx1"/>
            </w14:solidFill>
          </w14:textFill>
        </w:rPr>
        <w:t>6</w:t>
      </w:r>
      <w:r>
        <w:rPr>
          <w:rFonts w:ascii="Arial" w:hAnsi="Arial" w:cs="Arial"/>
          <w:b/>
          <w:i/>
          <w:color w:val="000000" w:themeColor="text1"/>
          <w:sz w:val="20"/>
          <w:szCs w:val="20"/>
          <w:u w:val="single"/>
          <w14:textFill>
            <w14:solidFill>
              <w14:schemeClr w14:val="tx1"/>
            </w14:solidFill>
          </w14:textFill>
        </w:rPr>
        <w:t xml:space="preserve">. </w:t>
      </w:r>
      <w:r>
        <w:rPr>
          <w:rFonts w:ascii="Arial" w:hAnsi="Arial" w:cs="Arial"/>
          <w:b/>
          <w:i/>
          <w:sz w:val="20"/>
          <w:szCs w:val="20"/>
          <w:u w:val="single"/>
        </w:rPr>
        <w:t>do 15,00 sati,</w:t>
      </w:r>
      <w:r>
        <w:rPr>
          <w:rFonts w:ascii="Arial" w:hAnsi="Arial" w:cs="Arial"/>
          <w:b/>
          <w:i/>
          <w:sz w:val="20"/>
          <w:szCs w:val="20"/>
        </w:rPr>
        <w:t xml:space="preserve"> </w:t>
      </w:r>
      <w:r>
        <w:rPr>
          <w:rFonts w:ascii="Arial" w:hAnsi="Arial" w:cs="Arial"/>
          <w:sz w:val="20"/>
          <w:szCs w:val="20"/>
        </w:rPr>
        <w:t>bez obzira na način dostave. Nakon isteka roka za zaprimanje ponuda, nijedan ponuditelj ne može mijenjati sadržaj svoje ponude niti je zamijeniti novom.</w:t>
      </w:r>
    </w:p>
    <w:p w14:paraId="077B74BD">
      <w:pPr>
        <w:pStyle w:val="12"/>
        <w:shd w:val="clear" w:color="auto" w:fill="FFFFFF"/>
        <w:spacing w:before="0" w:beforeAutospacing="0" w:after="0" w:afterAutospacing="0"/>
        <w:jc w:val="both"/>
        <w:rPr>
          <w:rFonts w:ascii="Arial" w:hAnsi="Arial" w:cs="Arial"/>
          <w:b/>
          <w:i/>
          <w:sz w:val="22"/>
          <w:szCs w:val="22"/>
          <w:u w:val="single"/>
        </w:rPr>
      </w:pPr>
      <w:r>
        <w:rPr>
          <w:rFonts w:ascii="Arial" w:hAnsi="Arial" w:cs="Arial"/>
          <w:b/>
          <w:i/>
          <w:sz w:val="22"/>
          <w:szCs w:val="22"/>
          <w:u w:val="single"/>
        </w:rPr>
        <w:t xml:space="preserve">Pisane ponude daju se za svako pojedino </w:t>
      </w:r>
      <w:r>
        <w:rPr>
          <w:rFonts w:ascii="Arial" w:hAnsi="Arial" w:cs="Arial"/>
          <w:b/>
          <w:i/>
          <w:color w:val="000000" w:themeColor="text1"/>
          <w:sz w:val="22"/>
          <w:szCs w:val="22"/>
          <w:u w:val="single"/>
          <w14:textFill>
            <w14:solidFill>
              <w14:schemeClr w14:val="tx1"/>
            </w14:solidFill>
          </w14:textFill>
        </w:rPr>
        <w:t xml:space="preserve">prodajno mjesto </w:t>
      </w:r>
      <w:r>
        <w:rPr>
          <w:rFonts w:ascii="Arial" w:hAnsi="Arial" w:cs="Arial"/>
          <w:b/>
          <w:i/>
          <w:sz w:val="22"/>
          <w:szCs w:val="22"/>
          <w:u w:val="single"/>
        </w:rPr>
        <w:t xml:space="preserve">zasebno. </w:t>
      </w:r>
    </w:p>
    <w:p w14:paraId="04B3E103">
      <w:pPr>
        <w:pStyle w:val="12"/>
        <w:shd w:val="clear" w:color="auto" w:fill="FFFFFF"/>
        <w:spacing w:before="0" w:beforeAutospacing="0" w:after="0" w:afterAutospacing="0"/>
        <w:jc w:val="both"/>
        <w:rPr>
          <w:rFonts w:ascii="Arial" w:hAnsi="Arial" w:cs="Arial"/>
          <w:b/>
          <w:sz w:val="20"/>
          <w:szCs w:val="20"/>
        </w:rPr>
      </w:pPr>
    </w:p>
    <w:p w14:paraId="609057E7">
      <w:pPr>
        <w:pStyle w:val="12"/>
        <w:shd w:val="clear" w:color="auto" w:fill="FFFFFF"/>
        <w:spacing w:before="0" w:beforeAutospacing="0" w:after="0" w:afterAutospacing="0"/>
        <w:jc w:val="both"/>
        <w:rPr>
          <w:rFonts w:ascii="Arial" w:hAnsi="Arial" w:cs="Arial"/>
          <w:b/>
        </w:rPr>
      </w:pPr>
      <w:r>
        <w:rPr>
          <w:rFonts w:ascii="Arial" w:hAnsi="Arial" w:cs="Arial"/>
          <w:b/>
        </w:rPr>
        <w:t>IV. NAČIN PODNOŠENJA PISANIH PONUDA:</w:t>
      </w:r>
    </w:p>
    <w:p w14:paraId="7F4CC590">
      <w:pPr>
        <w:pStyle w:val="12"/>
        <w:shd w:val="clear" w:color="auto" w:fill="FFFFFF"/>
        <w:spacing w:before="0" w:beforeAutospacing="0" w:after="0" w:afterAutospacing="0"/>
        <w:jc w:val="both"/>
        <w:rPr>
          <w:rFonts w:ascii="Arial" w:hAnsi="Arial" w:cs="Arial"/>
          <w:b/>
          <w:i/>
          <w:sz w:val="20"/>
          <w:szCs w:val="20"/>
          <w:u w:val="single"/>
        </w:rPr>
      </w:pPr>
      <w:r>
        <w:rPr>
          <w:rFonts w:ascii="Arial" w:hAnsi="Arial" w:cs="Arial"/>
          <w:sz w:val="20"/>
          <w:szCs w:val="20"/>
        </w:rPr>
        <w:t xml:space="preserve">Pisana ponuda podnosi se </w:t>
      </w:r>
      <w:r>
        <w:rPr>
          <w:rFonts w:ascii="Arial" w:hAnsi="Arial" w:cs="Arial"/>
          <w:b/>
          <w:i/>
          <w:sz w:val="20"/>
          <w:szCs w:val="20"/>
        </w:rPr>
        <w:t>preporučenom pošiljkom</w:t>
      </w:r>
      <w:r>
        <w:rPr>
          <w:rFonts w:ascii="Arial" w:hAnsi="Arial" w:cs="Arial"/>
          <w:sz w:val="20"/>
          <w:szCs w:val="20"/>
        </w:rPr>
        <w:t xml:space="preserve"> na adresu: </w:t>
      </w:r>
      <w:r>
        <w:rPr>
          <w:rFonts w:ascii="Arial" w:hAnsi="Arial" w:cs="Arial"/>
          <w:sz w:val="20"/>
          <w:szCs w:val="20"/>
          <w:u w:val="single"/>
        </w:rPr>
        <w:t xml:space="preserve">Primorsko komunalno društvo d.o.o. Slano, Obala Ohmučevića 2 </w:t>
      </w:r>
      <w:r>
        <w:rPr>
          <w:rFonts w:ascii="Arial" w:hAnsi="Arial" w:cs="Arial"/>
          <w:sz w:val="20"/>
          <w:szCs w:val="20"/>
        </w:rPr>
        <w:t xml:space="preserve">ili putem elektroničke pošte </w:t>
      </w:r>
      <w:r>
        <w:rPr>
          <w:rFonts w:ascii="Arial" w:hAnsi="Arial" w:cs="Arial"/>
          <w:sz w:val="20"/>
          <w:szCs w:val="20"/>
          <w:u w:val="single"/>
        </w:rPr>
        <w:t>primkom</w:t>
      </w:r>
      <w:r>
        <w:rPr>
          <w:rFonts w:ascii="Aharoni" w:hAnsi="Aharoni" w:cs="Aharoni"/>
          <w:sz w:val="20"/>
          <w:szCs w:val="20"/>
          <w:u w:val="single"/>
        </w:rPr>
        <w:t>@</w:t>
      </w:r>
      <w:r>
        <w:rPr>
          <w:rFonts w:ascii="Arial" w:hAnsi="Arial" w:cs="Arial"/>
          <w:sz w:val="20"/>
          <w:szCs w:val="20"/>
          <w:u w:val="single"/>
        </w:rPr>
        <w:t>dubrovackoprimorje.hr</w:t>
      </w:r>
      <w:r>
        <w:rPr>
          <w:rFonts w:ascii="Arial" w:hAnsi="Arial" w:cs="Arial"/>
          <w:b/>
          <w:i/>
          <w:sz w:val="20"/>
          <w:szCs w:val="20"/>
          <w:u w:val="single"/>
        </w:rPr>
        <w:t xml:space="preserve"> </w:t>
      </w:r>
    </w:p>
    <w:p w14:paraId="4EC45CBC">
      <w:pPr>
        <w:pStyle w:val="12"/>
        <w:shd w:val="clear" w:color="auto" w:fill="FFFFFF"/>
        <w:spacing w:before="0" w:beforeAutospacing="0" w:after="0" w:afterAutospacing="0"/>
        <w:jc w:val="both"/>
        <w:rPr>
          <w:rFonts w:ascii="Arial" w:hAnsi="Arial" w:cs="Arial"/>
          <w:sz w:val="20"/>
          <w:szCs w:val="20"/>
        </w:rPr>
      </w:pPr>
    </w:p>
    <w:p w14:paraId="774E3080">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Ponuditelji su dužni zapečatiti ponudu u omotnicu te na zatvorenoj omotnici naznačiti vrstu i redni broj </w:t>
      </w:r>
      <w:r>
        <w:rPr>
          <w:rFonts w:ascii="Arial" w:hAnsi="Arial" w:cs="Arial"/>
          <w:color w:val="0D0D0D" w:themeColor="text1" w:themeTint="F2"/>
          <w:sz w:val="20"/>
          <w:szCs w:val="20"/>
          <w14:textFill>
            <w14:solidFill>
              <w14:schemeClr w14:val="tx1">
                <w14:lumMod w14:val="95000"/>
                <w14:lumOff w14:val="5000"/>
              </w14:schemeClr>
            </w14:solidFill>
          </w14:textFill>
        </w:rPr>
        <w:t xml:space="preserve">prodajnog mjesta </w:t>
      </w:r>
      <w:r>
        <w:rPr>
          <w:rFonts w:ascii="Arial" w:hAnsi="Arial" w:cs="Arial"/>
          <w:sz w:val="20"/>
          <w:szCs w:val="20"/>
        </w:rPr>
        <w:t>za koje se podnosi pisana ponuda kako slijedi:</w:t>
      </w:r>
    </w:p>
    <w:p w14:paraId="53380029">
      <w:pPr>
        <w:pStyle w:val="12"/>
        <w:shd w:val="clear" w:color="auto" w:fill="FFFFFF"/>
        <w:spacing w:before="0" w:beforeAutospacing="0" w:after="0" w:afterAutospacing="0"/>
        <w:ind w:firstLine="708"/>
        <w:jc w:val="both"/>
        <w:rPr>
          <w:rFonts w:ascii="Arial" w:hAnsi="Arial" w:cs="Arial"/>
          <w:sz w:val="20"/>
          <w:szCs w:val="20"/>
        </w:rPr>
      </w:pPr>
    </w:p>
    <w:p w14:paraId="280226DB">
      <w:pPr>
        <w:pStyle w:val="12"/>
        <w:shd w:val="clear" w:color="auto" w:fill="FFFFFF"/>
        <w:spacing w:before="0" w:beforeAutospacing="0" w:after="0" w:afterAutospacing="0"/>
        <w:ind w:firstLine="708"/>
        <w:jc w:val="both"/>
        <w:rPr>
          <w:rFonts w:ascii="Arial" w:hAnsi="Arial" w:cs="Arial"/>
          <w:color w:val="FF0000"/>
          <w:sz w:val="20"/>
          <w:szCs w:val="20"/>
        </w:rPr>
      </w:pPr>
      <w:r>
        <w:rPr>
          <w:rFonts w:ascii="Arial" w:hAnsi="Arial" w:cs="Arial"/>
          <w:sz w:val="20"/>
          <w:szCs w:val="20"/>
        </w:rPr>
        <w:t xml:space="preserve">»NE OTVARATI – PONUDA ZA UZIMANJE U ZAKUP </w:t>
      </w:r>
      <w:r>
        <w:rPr>
          <w:rFonts w:ascii="Arial" w:hAnsi="Arial" w:cs="Arial"/>
          <w:color w:val="0D0D0D" w:themeColor="text1" w:themeTint="F2"/>
          <w:sz w:val="20"/>
          <w:szCs w:val="20"/>
          <w14:textFill>
            <w14:solidFill>
              <w14:schemeClr w14:val="tx1">
                <w14:lumMod w14:val="95000"/>
                <w14:lumOff w14:val="5000"/>
              </w14:schemeClr>
            </w14:solidFill>
          </w14:textFill>
        </w:rPr>
        <w:t xml:space="preserve">PRODAJNOG MJESTA: </w:t>
      </w:r>
    </w:p>
    <w:p w14:paraId="59B4778F">
      <w:pPr>
        <w:pStyle w:val="12"/>
        <w:shd w:val="clear" w:color="auto" w:fill="FFFFFF"/>
        <w:spacing w:before="0" w:beforeAutospacing="0" w:after="0" w:afterAutospacing="0"/>
        <w:ind w:firstLine="708"/>
        <w:jc w:val="both"/>
        <w:rPr>
          <w:rFonts w:ascii="Arial" w:hAnsi="Arial" w:cs="Arial"/>
          <w:sz w:val="20"/>
          <w:szCs w:val="20"/>
        </w:rPr>
      </w:pPr>
      <w:r>
        <w:rPr>
          <w:rFonts w:ascii="Arial" w:hAnsi="Arial" w:cs="Arial"/>
          <w:sz w:val="20"/>
          <w:szCs w:val="20"/>
        </w:rPr>
        <w:t xml:space="preserve">INTERNA OZNAKA </w:t>
      </w:r>
      <w:r>
        <w:rPr>
          <w:rFonts w:ascii="Arial" w:hAnsi="Arial" w:cs="Arial"/>
          <w:color w:val="0D0D0D" w:themeColor="text1" w:themeTint="F2"/>
          <w:sz w:val="20"/>
          <w:szCs w:val="20"/>
          <w14:textFill>
            <w14:solidFill>
              <w14:schemeClr w14:val="tx1">
                <w14:lumMod w14:val="95000"/>
                <w14:lumOff w14:val="5000"/>
              </w14:schemeClr>
            </w14:solidFill>
          </w14:textFill>
        </w:rPr>
        <w:t>PRODAJNOG MJESTA</w:t>
      </w:r>
      <w:r>
        <w:rPr>
          <w:rFonts w:ascii="Arial" w:hAnsi="Arial" w:cs="Arial"/>
          <w:sz w:val="20"/>
          <w:szCs w:val="20"/>
        </w:rPr>
        <w:t xml:space="preserve">: _______________________«. </w:t>
      </w:r>
    </w:p>
    <w:p w14:paraId="0363528C">
      <w:pPr>
        <w:pStyle w:val="12"/>
        <w:shd w:val="clear" w:color="auto" w:fill="FFFFFF"/>
        <w:spacing w:before="0" w:beforeAutospacing="0" w:after="0" w:afterAutospacing="0"/>
        <w:jc w:val="both"/>
        <w:rPr>
          <w:rFonts w:ascii="Arial" w:hAnsi="Arial" w:cs="Arial"/>
          <w:sz w:val="20"/>
          <w:szCs w:val="20"/>
        </w:rPr>
      </w:pPr>
    </w:p>
    <w:p w14:paraId="6B22C6E5">
      <w:pPr>
        <w:pStyle w:val="12"/>
        <w:shd w:val="clear" w:color="auto" w:fill="FFFFFF"/>
        <w:spacing w:before="0" w:beforeAutospacing="0" w:after="0" w:afterAutospacing="0"/>
        <w:jc w:val="both"/>
        <w:rPr>
          <w:rFonts w:ascii="Arial" w:hAnsi="Arial" w:cs="Arial"/>
          <w:b/>
          <w:sz w:val="20"/>
          <w:szCs w:val="20"/>
        </w:rPr>
      </w:pPr>
      <w:r>
        <w:rPr>
          <w:rFonts w:ascii="Arial" w:hAnsi="Arial" w:cs="Arial"/>
          <w:sz w:val="20"/>
          <w:szCs w:val="20"/>
        </w:rPr>
        <w:t>Nepotpune i nepravodobno pristigle ponude neće se razmatrati.</w:t>
      </w:r>
    </w:p>
    <w:p w14:paraId="2F1DC8D8">
      <w:pPr>
        <w:pStyle w:val="12"/>
        <w:shd w:val="clear" w:color="auto" w:fill="FFFFFF"/>
        <w:spacing w:before="0" w:beforeAutospacing="0" w:after="0" w:afterAutospacing="0"/>
        <w:jc w:val="both"/>
        <w:rPr>
          <w:rFonts w:ascii="Arial" w:hAnsi="Arial" w:cs="Arial"/>
          <w:b/>
          <w:sz w:val="20"/>
          <w:szCs w:val="20"/>
        </w:rPr>
      </w:pPr>
    </w:p>
    <w:p w14:paraId="7F496244">
      <w:pPr>
        <w:pStyle w:val="12"/>
        <w:shd w:val="clear" w:color="auto" w:fill="FFFFFF"/>
        <w:spacing w:before="0" w:beforeAutospacing="0" w:after="0" w:afterAutospacing="0"/>
        <w:jc w:val="both"/>
        <w:rPr>
          <w:rFonts w:ascii="Arial" w:hAnsi="Arial" w:cs="Arial"/>
          <w:b/>
        </w:rPr>
      </w:pPr>
      <w:r>
        <w:rPr>
          <w:rFonts w:ascii="Arial" w:hAnsi="Arial" w:cs="Arial"/>
          <w:b/>
        </w:rPr>
        <w:t>V. JAVNO OTVARANJE PISANIH PONUDA:</w:t>
      </w:r>
    </w:p>
    <w:p w14:paraId="66FAEFEC">
      <w:pPr>
        <w:pStyle w:val="12"/>
        <w:shd w:val="clear" w:color="auto" w:fill="FFFFFF"/>
        <w:spacing w:before="0" w:beforeAutospacing="0" w:after="0" w:afterAutospacing="0"/>
        <w:jc w:val="both"/>
        <w:rPr>
          <w:rFonts w:ascii="Arial" w:hAnsi="Arial" w:cs="Arial"/>
          <w:b/>
          <w:color w:val="000000" w:themeColor="text1"/>
          <w:sz w:val="20"/>
          <w:szCs w:val="20"/>
          <w14:textFill>
            <w14:solidFill>
              <w14:schemeClr w14:val="tx1"/>
            </w14:solidFill>
          </w14:textFill>
        </w:rPr>
      </w:pPr>
      <w:r>
        <w:rPr>
          <w:rFonts w:ascii="Arial" w:hAnsi="Arial" w:cs="Arial"/>
          <w:sz w:val="20"/>
          <w:szCs w:val="20"/>
        </w:rPr>
        <w:t>Javno otvaranje pisanih ponuda provesti će se dana:</w:t>
      </w:r>
      <w:r>
        <w:rPr>
          <w:rFonts w:ascii="Arial" w:hAnsi="Arial" w:cs="Arial"/>
          <w:sz w:val="20"/>
          <w:szCs w:val="20"/>
        </w:rPr>
        <w:tab/>
      </w:r>
      <w:r>
        <w:rPr>
          <w:rFonts w:hint="default" w:ascii="Arial" w:hAnsi="Arial" w:cs="Arial"/>
          <w:b/>
          <w:bCs/>
          <w:sz w:val="20"/>
          <w:szCs w:val="20"/>
          <w:u w:val="single"/>
          <w:lang w:val="hr-HR"/>
        </w:rPr>
        <w:t>19</w:t>
      </w:r>
      <w:r>
        <w:rPr>
          <w:rFonts w:ascii="Arial" w:hAnsi="Arial" w:cs="Arial"/>
          <w:b/>
          <w:bCs/>
          <w:sz w:val="20"/>
          <w:szCs w:val="20"/>
          <w:u w:val="single"/>
        </w:rPr>
        <w:t>.</w:t>
      </w:r>
      <w:r>
        <w:rPr>
          <w:rFonts w:hint="default" w:ascii="Arial" w:hAnsi="Arial" w:cs="Arial"/>
          <w:b/>
          <w:sz w:val="20"/>
          <w:szCs w:val="20"/>
          <w:u w:val="single"/>
          <w:lang w:val="hr-HR"/>
        </w:rPr>
        <w:t>10</w:t>
      </w:r>
      <w:r>
        <w:rPr>
          <w:rFonts w:ascii="Arial" w:hAnsi="Arial" w:cs="Arial"/>
          <w:b/>
          <w:sz w:val="20"/>
          <w:szCs w:val="20"/>
          <w:u w:val="single"/>
        </w:rPr>
        <w:t>.202</w:t>
      </w:r>
      <w:r>
        <w:rPr>
          <w:rFonts w:hint="default" w:ascii="Arial" w:hAnsi="Arial" w:cs="Arial"/>
          <w:b/>
          <w:sz w:val="20"/>
          <w:szCs w:val="20"/>
          <w:u w:val="single"/>
          <w:lang w:val="hr-HR"/>
        </w:rPr>
        <w:t>6</w:t>
      </w:r>
      <w:r>
        <w:rPr>
          <w:rFonts w:ascii="Arial" w:hAnsi="Arial" w:cs="Arial"/>
          <w:b/>
          <w:color w:val="000000" w:themeColor="text1"/>
          <w:sz w:val="20"/>
          <w:szCs w:val="20"/>
          <w:u w:val="single"/>
          <w14:textFill>
            <w14:solidFill>
              <w14:schemeClr w14:val="tx1"/>
            </w14:solidFill>
          </w14:textFill>
        </w:rPr>
        <w:t>.god. (</w:t>
      </w:r>
      <w:r>
        <w:rPr>
          <w:rFonts w:hint="default" w:ascii="Arial" w:hAnsi="Arial" w:cs="Arial"/>
          <w:b/>
          <w:color w:val="000000" w:themeColor="text1"/>
          <w:sz w:val="20"/>
          <w:szCs w:val="20"/>
          <w:u w:val="single"/>
          <w:lang w:val="hr-HR"/>
          <w14:textFill>
            <w14:solidFill>
              <w14:schemeClr w14:val="tx1"/>
            </w14:solidFill>
          </w14:textFill>
        </w:rPr>
        <w:t>ponedjeljak</w:t>
      </w:r>
      <w:r>
        <w:rPr>
          <w:rFonts w:ascii="Arial" w:hAnsi="Arial" w:cs="Arial"/>
          <w:b/>
          <w:color w:val="000000" w:themeColor="text1"/>
          <w:sz w:val="20"/>
          <w:szCs w:val="20"/>
          <w:u w:val="single"/>
          <w14:textFill>
            <w14:solidFill>
              <w14:schemeClr w14:val="tx1"/>
            </w14:solidFill>
          </w14:textFill>
        </w:rPr>
        <w:t xml:space="preserve">) u </w:t>
      </w:r>
      <w:r>
        <w:rPr>
          <w:rFonts w:hint="default" w:ascii="Arial" w:hAnsi="Arial" w:cs="Arial"/>
          <w:b/>
          <w:color w:val="000000" w:themeColor="text1"/>
          <w:sz w:val="20"/>
          <w:szCs w:val="20"/>
          <w:u w:val="single"/>
          <w:lang w:val="hr-HR"/>
          <w14:textFill>
            <w14:solidFill>
              <w14:schemeClr w14:val="tx1"/>
            </w14:solidFill>
          </w14:textFill>
        </w:rPr>
        <w:t>08</w:t>
      </w:r>
      <w:r>
        <w:rPr>
          <w:rFonts w:ascii="Arial" w:hAnsi="Arial" w:cs="Arial"/>
          <w:b/>
          <w:color w:val="000000" w:themeColor="text1"/>
          <w:sz w:val="20"/>
          <w:szCs w:val="20"/>
          <w:u w:val="single"/>
          <w14:textFill>
            <w14:solidFill>
              <w14:schemeClr w14:val="tx1"/>
            </w14:solidFill>
          </w14:textFill>
        </w:rPr>
        <w:t>.00 sati</w:t>
      </w:r>
    </w:p>
    <w:p w14:paraId="1CC0DF1F">
      <w:pPr>
        <w:pStyle w:val="12"/>
        <w:shd w:val="clear" w:color="auto" w:fill="FFFFFF"/>
        <w:spacing w:before="0" w:beforeAutospacing="0" w:after="0" w:afterAutospacing="0"/>
        <w:jc w:val="both"/>
        <w:rPr>
          <w:rFonts w:ascii="Arial" w:hAnsi="Arial" w:cs="Arial"/>
          <w:b/>
          <w:sz w:val="20"/>
          <w:szCs w:val="20"/>
        </w:rPr>
      </w:pPr>
      <w:r>
        <w:rPr>
          <w:rFonts w:ascii="Arial" w:hAnsi="Arial" w:cs="Arial"/>
          <w:sz w:val="20"/>
          <w:szCs w:val="20"/>
        </w:rPr>
        <w:t>Na adresi sjedišta društva</w:t>
      </w:r>
      <w:r>
        <w:rPr>
          <w:rFonts w:ascii="Arial" w:hAnsi="Arial" w:cs="Arial"/>
          <w:b/>
          <w:sz w:val="20"/>
          <w:szCs w:val="20"/>
        </w:rPr>
        <w:t xml:space="preserve">, Slano, Obala Ohmučevića 2 (2.kat)                                                                                   </w:t>
      </w:r>
    </w:p>
    <w:p w14:paraId="01481392">
      <w:pPr>
        <w:pStyle w:val="12"/>
        <w:shd w:val="clear" w:color="auto" w:fill="FFFFFF"/>
        <w:spacing w:before="0" w:beforeAutospacing="0" w:after="0" w:afterAutospacing="0"/>
        <w:jc w:val="both"/>
        <w:rPr>
          <w:rFonts w:ascii="Arial" w:hAnsi="Arial" w:cs="Arial"/>
          <w:b/>
          <w:sz w:val="20"/>
          <w:szCs w:val="20"/>
        </w:rPr>
      </w:pPr>
    </w:p>
    <w:p w14:paraId="2157FA8B">
      <w:pPr>
        <w:pStyle w:val="12"/>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Natječaj provodi povjerenstvo sastavljeno od jednog predsjednika i dva člana. Povjerenstvo odluke donosi jednoglasno.</w:t>
      </w:r>
    </w:p>
    <w:p w14:paraId="0AF7F935">
      <w:pPr>
        <w:pStyle w:val="12"/>
        <w:shd w:val="clear" w:color="auto" w:fill="FFFFFF"/>
        <w:spacing w:before="0" w:beforeAutospacing="0" w:after="0" w:afterAutospacing="0"/>
        <w:jc w:val="both"/>
        <w:rPr>
          <w:rFonts w:ascii="Arial" w:hAnsi="Arial" w:cs="Arial"/>
          <w:sz w:val="20"/>
          <w:szCs w:val="20"/>
        </w:rPr>
      </w:pPr>
    </w:p>
    <w:p w14:paraId="1027FBE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Javnom otvaranju ponuda mogu pristupiti ponuditelji osobno, zakonski zastupnici ponuditelja ili opunomoćenik ponuditelja (za fizičke osobe punomoć ovjerenu od javnog bilježnika, a za pravne osobe punomoć potpisanu od strane zakonskog zastupnika i ovjerenu pečatom pravne osobe).</w:t>
      </w:r>
    </w:p>
    <w:p w14:paraId="5D73751F">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Na javnom otvaranju pisanih ponuda imaju pravo sudjelovati isključivo ponuditelji koji su podnijeli ponude za zakup </w:t>
      </w:r>
      <w:r>
        <w:rPr>
          <w:rFonts w:ascii="Arial" w:hAnsi="Arial" w:cs="Arial"/>
          <w:color w:val="000000" w:themeColor="text1"/>
          <w:sz w:val="20"/>
          <w:szCs w:val="20"/>
          <w14:textFill>
            <w14:solidFill>
              <w14:schemeClr w14:val="tx1"/>
            </w14:solidFill>
          </w14:textFill>
        </w:rPr>
        <w:t xml:space="preserve">prodajnog mjesta </w:t>
      </w:r>
      <w:r>
        <w:rPr>
          <w:rFonts w:ascii="Arial" w:hAnsi="Arial" w:cs="Arial"/>
          <w:sz w:val="20"/>
          <w:szCs w:val="20"/>
        </w:rPr>
        <w:t>koje je predmet natječaja odnosno njihovi ovlašteni predstavnici ili opunomoćenici.</w:t>
      </w:r>
    </w:p>
    <w:p w14:paraId="09EE7A19">
      <w:pPr>
        <w:pStyle w:val="12"/>
        <w:shd w:val="clear" w:color="auto" w:fill="FFFFFF"/>
        <w:spacing w:before="0" w:beforeAutospacing="0" w:after="0" w:afterAutospacing="0"/>
        <w:jc w:val="both"/>
        <w:rPr>
          <w:rFonts w:ascii="Arial" w:hAnsi="Arial" w:cs="Arial"/>
          <w:sz w:val="20"/>
          <w:szCs w:val="20"/>
        </w:rPr>
      </w:pPr>
    </w:p>
    <w:p w14:paraId="64C32AD5">
      <w:pPr>
        <w:pStyle w:val="12"/>
        <w:shd w:val="clear" w:color="auto" w:fill="FFFFFF"/>
        <w:spacing w:before="0" w:beforeAutospacing="0" w:after="0" w:afterAutospacing="0"/>
        <w:jc w:val="both"/>
        <w:rPr>
          <w:rFonts w:ascii="Arial" w:hAnsi="Arial" w:cs="Arial"/>
          <w:b/>
        </w:rPr>
      </w:pPr>
      <w:r>
        <w:rPr>
          <w:rFonts w:ascii="Arial" w:hAnsi="Arial" w:cs="Arial"/>
          <w:b/>
        </w:rPr>
        <w:t>VII. UVJETI UGOVORA O ZAKUPU TEMELJEM PROVEDENOG JAVNOG NATJEČAJA:</w:t>
      </w:r>
    </w:p>
    <w:p w14:paraId="457F591D">
      <w:pPr>
        <w:pStyle w:val="12"/>
        <w:shd w:val="clear" w:color="auto" w:fill="FFFFFF"/>
        <w:spacing w:before="0" w:beforeAutospacing="0" w:after="0" w:afterAutospacing="0"/>
        <w:jc w:val="both"/>
        <w:rPr>
          <w:rFonts w:ascii="Arial" w:hAnsi="Arial" w:cs="Arial"/>
          <w:b/>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 xml:space="preserve">Prodajna mjesta temeljem </w:t>
      </w:r>
      <w:r>
        <w:rPr>
          <w:rFonts w:ascii="Arial" w:hAnsi="Arial" w:cs="Arial"/>
          <w:sz w:val="20"/>
          <w:szCs w:val="20"/>
        </w:rPr>
        <w:t xml:space="preserve">ovog javnog natječaja daju se u zakup na određeno vrijeme od </w:t>
      </w:r>
      <w:r>
        <w:rPr>
          <w:rFonts w:ascii="Arial" w:hAnsi="Arial" w:cs="Arial"/>
          <w:b/>
          <w:sz w:val="20"/>
          <w:szCs w:val="20"/>
        </w:rPr>
        <w:t>1</w:t>
      </w:r>
      <w:r>
        <w:rPr>
          <w:rFonts w:ascii="Arial" w:hAnsi="Arial" w:cs="Arial"/>
          <w:b/>
          <w:color w:val="000000" w:themeColor="text1"/>
          <w:sz w:val="20"/>
          <w:szCs w:val="20"/>
          <w14:textFill>
            <w14:solidFill>
              <w14:schemeClr w14:val="tx1"/>
            </w14:solidFill>
          </w14:textFill>
        </w:rPr>
        <w:t xml:space="preserve"> (jedne) godine.</w:t>
      </w:r>
    </w:p>
    <w:p w14:paraId="1A66407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Početak plaćanja zakupnine: s danom stupanja u posjed prodajnog mjesta, odnosno od dana izvršene primopredaje prodajnog mjesta koja se utvrđuje odlukom o davanju prodajnog mjesta u zakup.</w:t>
      </w:r>
    </w:p>
    <w:p w14:paraId="5310A4A4">
      <w:pPr>
        <w:pStyle w:val="12"/>
        <w:shd w:val="clear" w:color="auto" w:fill="FFFFFF"/>
        <w:spacing w:before="0" w:beforeAutospacing="0" w:after="0" w:afterAutospacing="0"/>
        <w:jc w:val="both"/>
        <w:rPr>
          <w:rFonts w:ascii="Arial" w:hAnsi="Arial" w:cs="Arial"/>
          <w:b/>
          <w:color w:val="000000" w:themeColor="text1"/>
          <w:sz w:val="20"/>
          <w:szCs w:val="20"/>
          <w14:textFill>
            <w14:solidFill>
              <w14:schemeClr w14:val="tx1"/>
            </w14:solidFill>
          </w14:textFill>
        </w:rPr>
      </w:pPr>
      <w:r>
        <w:rPr>
          <w:rFonts w:ascii="Arial" w:hAnsi="Arial" w:cs="Arial"/>
          <w:sz w:val="20"/>
          <w:szCs w:val="20"/>
        </w:rPr>
        <w:t xml:space="preserve">Početak obavljanja djelatnosti: najkasnije do </w:t>
      </w:r>
      <w:r>
        <w:rPr>
          <w:rFonts w:hint="default" w:ascii="Arial" w:hAnsi="Arial" w:cs="Arial"/>
          <w:b/>
          <w:sz w:val="20"/>
          <w:szCs w:val="20"/>
          <w:lang w:val="hr-HR"/>
        </w:rPr>
        <w:t>30.</w:t>
      </w:r>
      <w:r>
        <w:rPr>
          <w:rFonts w:ascii="Arial" w:hAnsi="Arial" w:cs="Arial"/>
          <w:b/>
          <w:sz w:val="20"/>
          <w:szCs w:val="20"/>
        </w:rPr>
        <w:t xml:space="preserve"> </w:t>
      </w:r>
      <w:r>
        <w:rPr>
          <w:rFonts w:hint="default" w:ascii="Arial" w:hAnsi="Arial" w:cs="Arial"/>
          <w:b/>
          <w:sz w:val="20"/>
          <w:szCs w:val="20"/>
          <w:lang w:val="hr-HR"/>
        </w:rPr>
        <w:t>listopada</w:t>
      </w:r>
      <w:r>
        <w:rPr>
          <w:rFonts w:ascii="Arial" w:hAnsi="Arial" w:cs="Arial"/>
          <w:b/>
          <w:color w:val="000000" w:themeColor="text1"/>
          <w:sz w:val="20"/>
          <w:szCs w:val="20"/>
          <w14:textFill>
            <w14:solidFill>
              <w14:schemeClr w14:val="tx1"/>
            </w14:solidFill>
          </w14:textFill>
        </w:rPr>
        <w:t xml:space="preserve"> 202</w:t>
      </w:r>
      <w:r>
        <w:rPr>
          <w:rFonts w:hint="default" w:ascii="Arial" w:hAnsi="Arial" w:cs="Arial"/>
          <w:b/>
          <w:color w:val="000000" w:themeColor="text1"/>
          <w:sz w:val="20"/>
          <w:szCs w:val="20"/>
          <w:lang w:val="hr-HR"/>
          <w14:textFill>
            <w14:solidFill>
              <w14:schemeClr w14:val="tx1"/>
            </w14:solidFill>
          </w14:textFill>
        </w:rPr>
        <w:t>6</w:t>
      </w:r>
      <w:r>
        <w:rPr>
          <w:rFonts w:ascii="Arial" w:hAnsi="Arial" w:cs="Arial"/>
          <w:b/>
          <w:color w:val="000000" w:themeColor="text1"/>
          <w:sz w:val="20"/>
          <w:szCs w:val="20"/>
          <w14:textFill>
            <w14:solidFill>
              <w14:schemeClr w14:val="tx1"/>
            </w14:solidFill>
          </w14:textFill>
        </w:rPr>
        <w:t>. god.</w:t>
      </w:r>
    </w:p>
    <w:p w14:paraId="747FF54B">
      <w:pPr>
        <w:pStyle w:val="12"/>
        <w:shd w:val="clear" w:color="auto" w:fill="FFFFFF"/>
        <w:spacing w:before="0" w:beforeAutospacing="0" w:after="0" w:afterAutospacing="0"/>
        <w:jc w:val="both"/>
        <w:rPr>
          <w:rFonts w:ascii="Arial" w:hAnsi="Arial" w:cs="Arial"/>
          <w:color w:val="FF0000"/>
          <w:sz w:val="20"/>
          <w:szCs w:val="20"/>
        </w:rPr>
      </w:pPr>
    </w:p>
    <w:p w14:paraId="2F61A151">
      <w:pPr>
        <w:pStyle w:val="12"/>
        <w:shd w:val="clear" w:color="auto" w:fill="FFFFFF"/>
        <w:spacing w:before="0" w:beforeAutospacing="0" w:after="0" w:afterAutospacing="0"/>
        <w:jc w:val="both"/>
        <w:rPr>
          <w:rFonts w:ascii="Arial" w:hAnsi="Arial" w:cs="Arial"/>
          <w:b/>
          <w:sz w:val="20"/>
          <w:szCs w:val="20"/>
        </w:rPr>
      </w:pPr>
    </w:p>
    <w:p w14:paraId="4A895BFF">
      <w:pPr>
        <w:pStyle w:val="12"/>
        <w:shd w:val="clear" w:color="auto" w:fill="FFFFFF"/>
        <w:spacing w:before="0" w:beforeAutospacing="0" w:after="0" w:afterAutospacing="0"/>
        <w:jc w:val="both"/>
        <w:rPr>
          <w:rFonts w:ascii="Arial" w:hAnsi="Arial" w:cs="Arial"/>
          <w:b/>
        </w:rPr>
      </w:pPr>
      <w:r>
        <w:rPr>
          <w:rFonts w:ascii="Arial" w:hAnsi="Arial" w:cs="Arial"/>
          <w:b/>
        </w:rPr>
        <w:t>VIII. NATJEČAJNA DOKUMENTACIJA:</w:t>
      </w:r>
    </w:p>
    <w:p w14:paraId="4B1F5241">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Svaka pisana ponuda za sudjelovanje na javnom natječaju mora sadržavati: </w:t>
      </w:r>
    </w:p>
    <w:p w14:paraId="5B5C6EE8">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ponudu za uzimanje u zakup određenog </w:t>
      </w:r>
      <w:r>
        <w:rPr>
          <w:rFonts w:ascii="Arial" w:hAnsi="Arial" w:cs="Arial"/>
          <w:color w:val="000000" w:themeColor="text1"/>
          <w:sz w:val="20"/>
          <w:szCs w:val="20"/>
          <w14:textFill>
            <w14:solidFill>
              <w14:schemeClr w14:val="tx1"/>
            </w14:solidFill>
          </w14:textFill>
        </w:rPr>
        <w:t xml:space="preserve">prodajnog mjesta </w:t>
      </w:r>
      <w:r>
        <w:rPr>
          <w:rFonts w:ascii="Arial" w:hAnsi="Arial" w:cs="Arial"/>
          <w:sz w:val="20"/>
          <w:szCs w:val="20"/>
        </w:rPr>
        <w:t xml:space="preserve">u kojoj mora biti navedeno: za ponuditelja koji je fizička osoba: ime i prezime ponuditelja, njegovo prebivalište i osobni identifikacijski broj (OIB); za ponuditelja koji je pravna osoba: tvrtka i sjedište, osobni identifikacijski broj (OIB), ime i prezime zakonskog zastupnika ponuditelja, njegovo prebivalište i osobni identifikacijski broj (OIB), </w:t>
      </w:r>
    </w:p>
    <w:p w14:paraId="66FAC489">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naznaku tržnice, vrste i rednog broja </w:t>
      </w:r>
      <w:r>
        <w:rPr>
          <w:rFonts w:ascii="Arial" w:hAnsi="Arial" w:cs="Arial"/>
          <w:color w:val="000000" w:themeColor="text1"/>
          <w:sz w:val="20"/>
          <w:szCs w:val="20"/>
          <w14:textFill>
            <w14:solidFill>
              <w14:schemeClr w14:val="tx1"/>
            </w14:solidFill>
          </w14:textFill>
        </w:rPr>
        <w:t xml:space="preserve">prodajnog mjesta </w:t>
      </w:r>
      <w:r>
        <w:rPr>
          <w:rFonts w:ascii="Arial" w:hAnsi="Arial" w:cs="Arial"/>
          <w:sz w:val="20"/>
          <w:szCs w:val="20"/>
        </w:rPr>
        <w:t xml:space="preserve">za koje se dostavlja ponuda, </w:t>
      </w:r>
    </w:p>
    <w:p w14:paraId="33935A27">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dokaz o uplati jamčevine,</w:t>
      </w:r>
    </w:p>
    <w:p w14:paraId="6D354C84">
      <w:pPr>
        <w:pStyle w:val="12"/>
        <w:numPr>
          <w:ilvl w:val="0"/>
          <w:numId w:val="2"/>
        </w:numPr>
        <w:shd w:val="clear" w:color="auto" w:fill="FFFFFF"/>
        <w:spacing w:before="0" w:beforeAutospacing="0" w:after="0" w:afterAutospacing="0"/>
        <w:jc w:val="both"/>
        <w:rPr>
          <w:rFonts w:ascii="Arial" w:hAnsi="Arial" w:cs="Arial"/>
          <w:color w:val="000000" w:themeColor="text1"/>
          <w:sz w:val="20"/>
          <w:szCs w:val="20"/>
          <w14:textFill>
            <w14:solidFill>
              <w14:schemeClr w14:val="tx1"/>
            </w14:solidFill>
          </w14:textFill>
        </w:rPr>
      </w:pPr>
      <w:r>
        <w:rPr>
          <w:rFonts w:ascii="Arial" w:hAnsi="Arial" w:cs="Arial"/>
          <w:sz w:val="20"/>
          <w:szCs w:val="20"/>
        </w:rPr>
        <w:t xml:space="preserve">ponuđeni iznos zakupnine za </w:t>
      </w:r>
      <w:r>
        <w:rPr>
          <w:rFonts w:ascii="Arial" w:hAnsi="Arial" w:cs="Arial"/>
          <w:color w:val="000000" w:themeColor="text1"/>
          <w:sz w:val="20"/>
          <w:szCs w:val="20"/>
          <w14:textFill>
            <w14:solidFill>
              <w14:schemeClr w14:val="tx1"/>
            </w14:solidFill>
          </w14:textFill>
        </w:rPr>
        <w:t>prodajno mjesto,</w:t>
      </w:r>
    </w:p>
    <w:p w14:paraId="536515DD">
      <w:pPr>
        <w:pStyle w:val="12"/>
        <w:numPr>
          <w:ilvl w:val="0"/>
          <w:numId w:val="2"/>
        </w:numPr>
        <w:shd w:val="clear" w:color="auto" w:fill="FFFFFF"/>
        <w:spacing w:before="0" w:beforeAutospacing="0" w:after="0" w:afterAutospacing="0"/>
        <w:jc w:val="both"/>
        <w:rPr>
          <w:rFonts w:ascii="Arial" w:hAnsi="Arial" w:cs="Arial"/>
          <w:color w:val="FF0000"/>
          <w:sz w:val="20"/>
          <w:szCs w:val="20"/>
        </w:rPr>
      </w:pPr>
      <w:r>
        <w:rPr>
          <w:rFonts w:ascii="Arial" w:hAnsi="Arial" w:cs="Arial"/>
          <w:sz w:val="20"/>
          <w:szCs w:val="20"/>
        </w:rPr>
        <w:t xml:space="preserve">naznaku djelatnosti koja će se obavljati u </w:t>
      </w:r>
      <w:r>
        <w:rPr>
          <w:rFonts w:ascii="Arial" w:hAnsi="Arial" w:cs="Arial"/>
          <w:color w:val="000000" w:themeColor="text1"/>
          <w:sz w:val="20"/>
          <w:szCs w:val="20"/>
          <w14:textFill>
            <w14:solidFill>
              <w14:schemeClr w14:val="tx1"/>
            </w14:solidFill>
          </w14:textFill>
        </w:rPr>
        <w:t>poslovnom prostoru</w:t>
      </w:r>
      <w:r>
        <w:rPr>
          <w:rFonts w:ascii="Arial" w:hAnsi="Arial" w:cs="Arial"/>
          <w:color w:val="FF0000"/>
          <w:sz w:val="20"/>
          <w:szCs w:val="20"/>
        </w:rPr>
        <w:t xml:space="preserve">, </w:t>
      </w:r>
    </w:p>
    <w:p w14:paraId="77DD630E">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presliku osobne iskaznice ako je ponuditelj fizička osoba, </w:t>
      </w:r>
    </w:p>
    <w:p w14:paraId="5AF8EC18">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izvornik ili ovjerenu presliku obrtnice ili izvadak iz nadležnog obrtnog registra koji ne smije biti stariji od 15 dana do dana prijave na javni natječaj, iz kojih mora biti vidljivo da je ponuditelj registriran za djelatnost koja će se obavljati u prodajnom mjestu za koji se natječe, ako je ponuditelj </w:t>
      </w:r>
      <w:r>
        <w:rPr>
          <w:rFonts w:ascii="Arial" w:hAnsi="Arial" w:cs="Arial"/>
          <w:b/>
          <w:sz w:val="20"/>
          <w:szCs w:val="20"/>
        </w:rPr>
        <w:t>fizička osoba</w:t>
      </w:r>
      <w:r>
        <w:rPr>
          <w:rFonts w:ascii="Arial" w:hAnsi="Arial" w:cs="Arial"/>
          <w:sz w:val="20"/>
          <w:szCs w:val="20"/>
        </w:rPr>
        <w:t xml:space="preserve"> </w:t>
      </w:r>
      <w:r>
        <w:rPr>
          <w:rFonts w:ascii="Arial" w:hAnsi="Arial" w:cs="Arial"/>
          <w:b/>
          <w:sz w:val="20"/>
          <w:szCs w:val="20"/>
        </w:rPr>
        <w:t>obrtnik</w:t>
      </w:r>
      <w:r>
        <w:rPr>
          <w:rFonts w:ascii="Arial" w:hAnsi="Arial" w:cs="Arial"/>
          <w:sz w:val="20"/>
          <w:szCs w:val="20"/>
        </w:rPr>
        <w:t xml:space="preserve">, </w:t>
      </w:r>
    </w:p>
    <w:p w14:paraId="1635477E">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izvornik ili ovjerenu presliku rješenja o upisu u nadležni strukovni registar ili drugu odgovarajuću potvrdu koje ne smije biti starije od 15 dana do dana prijave na javni natječaj, iz kojih mora biti vidljivo da ponuditelj udovoljava uvjetima za djelatnost koja će se obavljati u prodajnom mjestu za koji se natječe, ako je ponuditelj </w:t>
      </w:r>
      <w:r>
        <w:rPr>
          <w:rFonts w:ascii="Arial" w:hAnsi="Arial" w:cs="Arial"/>
          <w:b/>
          <w:sz w:val="20"/>
          <w:szCs w:val="20"/>
        </w:rPr>
        <w:t>fizička osoba koja nije obrtnik</w:t>
      </w:r>
      <w:r>
        <w:rPr>
          <w:rFonts w:ascii="Arial" w:hAnsi="Arial" w:cs="Arial"/>
          <w:sz w:val="20"/>
          <w:szCs w:val="20"/>
        </w:rPr>
        <w:t xml:space="preserve">, </w:t>
      </w:r>
    </w:p>
    <w:p w14:paraId="5CB97DE2">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izvornik ili ovjerenu presliku rješenja nadležnog trgovačkog suda o upisu u sudski registar ili izvadak iz sudskog registra koji ne smiju biti stariji od 15 dana do dana prijave na javni natječaj, iz kojih mora biti vidljivo da je ponuditelj – </w:t>
      </w:r>
      <w:r>
        <w:rPr>
          <w:rFonts w:ascii="Arial" w:hAnsi="Arial" w:cs="Arial"/>
          <w:b/>
          <w:sz w:val="20"/>
          <w:szCs w:val="20"/>
        </w:rPr>
        <w:t>pravna osoba</w:t>
      </w:r>
      <w:r>
        <w:rPr>
          <w:rFonts w:ascii="Arial" w:hAnsi="Arial" w:cs="Arial"/>
          <w:sz w:val="20"/>
          <w:szCs w:val="20"/>
        </w:rPr>
        <w:t xml:space="preserve"> registrirana za djelatnost koja će se obavljati u </w:t>
      </w:r>
      <w:r>
        <w:rPr>
          <w:rFonts w:ascii="Arial" w:hAnsi="Arial" w:cs="Arial"/>
          <w:color w:val="000000" w:themeColor="text1"/>
          <w:sz w:val="20"/>
          <w:szCs w:val="20"/>
          <w14:textFill>
            <w14:solidFill>
              <w14:schemeClr w14:val="tx1"/>
            </w14:solidFill>
          </w14:textFill>
        </w:rPr>
        <w:t xml:space="preserve">prodajnom mjestu </w:t>
      </w:r>
      <w:r>
        <w:rPr>
          <w:rFonts w:ascii="Arial" w:hAnsi="Arial" w:cs="Arial"/>
          <w:sz w:val="20"/>
          <w:szCs w:val="20"/>
        </w:rPr>
        <w:t xml:space="preserve">za koji se natječe te ime, prezime i osobni identifikacijski broj (OIB) zakonskog zastupnika pravne osobe, </w:t>
      </w:r>
    </w:p>
    <w:p w14:paraId="267670C2">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izvornik ili ovjerenu presliku rješenja nadležnog tijela o upisu u upisnik </w:t>
      </w:r>
      <w:r>
        <w:rPr>
          <w:rFonts w:ascii="Arial" w:hAnsi="Arial" w:cs="Arial"/>
          <w:b/>
          <w:sz w:val="20"/>
          <w:szCs w:val="20"/>
        </w:rPr>
        <w:t>poljoprivrednih gospodarstava</w:t>
      </w:r>
      <w:r>
        <w:rPr>
          <w:rFonts w:ascii="Arial" w:hAnsi="Arial" w:cs="Arial"/>
          <w:sz w:val="20"/>
          <w:szCs w:val="20"/>
        </w:rPr>
        <w:t xml:space="preserve"> ili izvadak iz upisnika koji ne smiju biti stariji od 15 dana do dana prijave na javni natječaj, iz kojih mora biti vidljivo da je ponuditelj registriran za djelatnost koja će se obavljati u </w:t>
      </w:r>
      <w:r>
        <w:rPr>
          <w:rFonts w:ascii="Arial" w:hAnsi="Arial" w:cs="Arial"/>
          <w:color w:val="000000" w:themeColor="text1"/>
          <w:sz w:val="20"/>
          <w:szCs w:val="20"/>
          <w14:textFill>
            <w14:solidFill>
              <w14:schemeClr w14:val="tx1"/>
            </w14:solidFill>
          </w14:textFill>
        </w:rPr>
        <w:t xml:space="preserve">prodajnom mjestu </w:t>
      </w:r>
      <w:r>
        <w:rPr>
          <w:rFonts w:ascii="Arial" w:hAnsi="Arial" w:cs="Arial"/>
          <w:sz w:val="20"/>
          <w:szCs w:val="20"/>
        </w:rPr>
        <w:t xml:space="preserve">za koji se natječe te ime, prezime i osobni identifikacijski broj (OIB) zakonskog zastupnika poljoprivrednog gospodarstva, </w:t>
      </w:r>
    </w:p>
    <w:p w14:paraId="60894F27">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izvornik ili ovjerenu presliku rješenja o upisu u registar </w:t>
      </w:r>
      <w:r>
        <w:rPr>
          <w:rFonts w:ascii="Arial" w:hAnsi="Arial" w:cs="Arial"/>
          <w:b/>
          <w:sz w:val="20"/>
          <w:szCs w:val="20"/>
        </w:rPr>
        <w:t>udruga</w:t>
      </w:r>
      <w:r>
        <w:rPr>
          <w:rFonts w:ascii="Arial" w:hAnsi="Arial" w:cs="Arial"/>
          <w:sz w:val="20"/>
          <w:szCs w:val="20"/>
        </w:rPr>
        <w:t xml:space="preserve"> ili izvadak iz odgovarajućeg registra nadležnog tijela, koji ne smiju biti stariji od </w:t>
      </w:r>
      <w:r>
        <w:rPr>
          <w:rFonts w:ascii="Arial" w:hAnsi="Arial" w:cs="Arial"/>
          <w:b/>
          <w:bCs/>
          <w:sz w:val="20"/>
          <w:szCs w:val="20"/>
        </w:rPr>
        <w:t xml:space="preserve">15 dana </w:t>
      </w:r>
      <w:r>
        <w:rPr>
          <w:rFonts w:ascii="Arial" w:hAnsi="Arial" w:cs="Arial"/>
          <w:sz w:val="20"/>
          <w:szCs w:val="20"/>
        </w:rPr>
        <w:t xml:space="preserve">do dana prijave na javni natječaj, iz kojih mora biti vidljivo da je ponuditelj – pravna osoba registrirana za djelatnost koja će se obavljati u prodajnom mjestu za koji se natječe te ime i prezime, prebivalište i osobni identifikacijski broj (OIB) zakonskog zastupnika pravne osobe, </w:t>
      </w:r>
    </w:p>
    <w:p w14:paraId="596F356F">
      <w:pPr>
        <w:pStyle w:val="12"/>
        <w:numPr>
          <w:ilvl w:val="0"/>
          <w:numId w:val="2"/>
        </w:numPr>
        <w:shd w:val="clear" w:color="auto" w:fill="FFFFFF"/>
        <w:spacing w:before="0" w:beforeAutospacing="0" w:after="0" w:afterAutospacing="0"/>
        <w:jc w:val="both"/>
        <w:rPr>
          <w:rFonts w:ascii="Arial" w:hAnsi="Arial" w:cs="Arial"/>
        </w:rPr>
      </w:pPr>
      <w:r>
        <w:rPr>
          <w:rFonts w:ascii="Arial" w:hAnsi="Arial" w:cs="Arial"/>
          <w:sz w:val="20"/>
          <w:szCs w:val="20"/>
        </w:rPr>
        <w:t>Ukoliko na natječaju sudjeluju branitelji iz Domovinskog rata, dužni su uz ponudu priložiti važeću Potvrdu Ministarstva obrane RH odonosno Ministarstva unutarnjih poslova za dragovoljce i ostale hrvatske branitelje iz Domovinskog rata.</w:t>
      </w:r>
    </w:p>
    <w:p w14:paraId="0225390B">
      <w:pPr>
        <w:pStyle w:val="12"/>
        <w:numPr>
          <w:ilvl w:val="0"/>
          <w:numId w:val="2"/>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Gore navedene isprave i dokaze Društvo zadržava i čuva pet godina od provedenog javnog natječaja.</w:t>
      </w:r>
    </w:p>
    <w:p w14:paraId="6517E77F">
      <w:pPr>
        <w:pStyle w:val="12"/>
        <w:numPr>
          <w:ilvl w:val="0"/>
          <w:numId w:val="2"/>
        </w:numPr>
        <w:shd w:val="clear" w:color="auto" w:fill="FFFFFF"/>
        <w:spacing w:before="0" w:beforeAutospacing="0" w:after="0" w:afterAutospacing="0"/>
        <w:jc w:val="both"/>
        <w:rPr>
          <w:rFonts w:ascii="Arial" w:hAnsi="Arial" w:cs="Arial"/>
          <w:sz w:val="20"/>
          <w:szCs w:val="20"/>
        </w:rPr>
      </w:pPr>
    </w:p>
    <w:p w14:paraId="19A8FE3E">
      <w:pPr>
        <w:pStyle w:val="12"/>
        <w:shd w:val="clear" w:color="auto" w:fill="FFFFFF"/>
        <w:spacing w:before="0" w:beforeAutospacing="0" w:after="0" w:afterAutospacing="0"/>
        <w:jc w:val="both"/>
        <w:rPr>
          <w:rFonts w:ascii="Arial" w:hAnsi="Arial" w:cs="Arial"/>
          <w:sz w:val="20"/>
          <w:szCs w:val="20"/>
        </w:rPr>
      </w:pPr>
    </w:p>
    <w:p w14:paraId="25BD16E3">
      <w:pPr>
        <w:pStyle w:val="12"/>
        <w:shd w:val="clear" w:color="auto" w:fill="FFFFFF"/>
        <w:spacing w:before="0" w:beforeAutospacing="0" w:after="0" w:afterAutospacing="0"/>
        <w:jc w:val="both"/>
        <w:rPr>
          <w:rFonts w:ascii="Arial" w:hAnsi="Arial" w:cs="Arial"/>
          <w:b/>
        </w:rPr>
      </w:pPr>
      <w:bookmarkStart w:id="1" w:name="_GoBack"/>
      <w:bookmarkEnd w:id="1"/>
      <w:r>
        <w:rPr>
          <w:rFonts w:ascii="Arial" w:hAnsi="Arial" w:cs="Arial"/>
          <w:b/>
        </w:rPr>
        <w:t>IX. SREDSTVA OSIGURANJA PLAĆANJA</w:t>
      </w:r>
    </w:p>
    <w:p w14:paraId="21F80664">
      <w:pPr>
        <w:pStyle w:val="12"/>
        <w:shd w:val="clear" w:color="auto" w:fill="FFFFFF"/>
        <w:spacing w:before="0" w:beforeAutospacing="0" w:after="0" w:afterAutospacing="0"/>
        <w:jc w:val="both"/>
        <w:rPr>
          <w:rFonts w:ascii="Arial" w:hAnsi="Arial" w:cs="Arial"/>
          <w:b/>
          <w:bCs/>
          <w:sz w:val="20"/>
          <w:szCs w:val="20"/>
        </w:rPr>
      </w:pPr>
      <w:r>
        <w:rPr>
          <w:rFonts w:ascii="Arial" w:hAnsi="Arial" w:cs="Arial"/>
          <w:sz w:val="20"/>
          <w:szCs w:val="20"/>
        </w:rPr>
        <w:t xml:space="preserve">Ponuditelj kojeg Društvo pozove na zaključivanje ugovora o zakupu </w:t>
      </w:r>
      <w:r>
        <w:rPr>
          <w:rFonts w:ascii="Arial" w:hAnsi="Arial" w:cs="Arial"/>
          <w:color w:val="000000" w:themeColor="text1"/>
          <w:sz w:val="20"/>
          <w:szCs w:val="20"/>
          <w14:textFill>
            <w14:solidFill>
              <w14:schemeClr w14:val="tx1"/>
            </w14:solidFill>
          </w14:textFill>
        </w:rPr>
        <w:t xml:space="preserve">prodajnog mjesta, </w:t>
      </w:r>
      <w:r>
        <w:rPr>
          <w:rFonts w:ascii="Arial" w:hAnsi="Arial" w:cs="Arial"/>
          <w:sz w:val="20"/>
          <w:szCs w:val="20"/>
        </w:rPr>
        <w:t xml:space="preserve">dužan je prije sklapanja ugovora, kao </w:t>
      </w:r>
      <w:r>
        <w:rPr>
          <w:rFonts w:ascii="Arial" w:hAnsi="Arial" w:cs="Arial"/>
          <w:b/>
          <w:sz w:val="20"/>
          <w:szCs w:val="20"/>
        </w:rPr>
        <w:t>osiguranje plaćanja</w:t>
      </w:r>
      <w:r>
        <w:rPr>
          <w:rFonts w:ascii="Arial" w:hAnsi="Arial" w:cs="Arial"/>
          <w:sz w:val="20"/>
          <w:szCs w:val="20"/>
        </w:rPr>
        <w:t xml:space="preserve"> </w:t>
      </w:r>
      <w:r>
        <w:rPr>
          <w:rFonts w:ascii="Arial" w:hAnsi="Arial" w:cs="Arial"/>
          <w:b/>
          <w:bCs/>
          <w:sz w:val="20"/>
          <w:szCs w:val="20"/>
        </w:rPr>
        <w:t>dostaviti bjanko zadužnicu solemniziranu po javnom bilježniku</w:t>
      </w:r>
      <w:r>
        <w:rPr>
          <w:rFonts w:ascii="Arial" w:hAnsi="Arial" w:cs="Arial"/>
          <w:sz w:val="20"/>
          <w:szCs w:val="20"/>
        </w:rPr>
        <w:t xml:space="preserve">, </w:t>
      </w:r>
      <w:r>
        <w:rPr>
          <w:rFonts w:ascii="Arial" w:hAnsi="Arial" w:cs="Arial"/>
          <w:b/>
          <w:bCs/>
          <w:sz w:val="20"/>
          <w:szCs w:val="20"/>
        </w:rPr>
        <w:t>izdanu u iznosu jednogodišnje zakupnine,</w:t>
      </w:r>
      <w:r>
        <w:rPr>
          <w:rFonts w:hint="default" w:ascii="Arial" w:hAnsi="Arial" w:cs="Arial"/>
          <w:b/>
          <w:bCs/>
          <w:sz w:val="20"/>
          <w:szCs w:val="20"/>
          <w:lang w:val="hr-HR"/>
        </w:rPr>
        <w:t xml:space="preserve"> bez</w:t>
      </w:r>
      <w:r>
        <w:rPr>
          <w:rFonts w:ascii="Arial" w:hAnsi="Arial" w:cs="Arial"/>
          <w:b/>
          <w:bCs/>
          <w:sz w:val="20"/>
          <w:szCs w:val="20"/>
        </w:rPr>
        <w:t xml:space="preserve">  porez na dodanu vrijednost.</w:t>
      </w:r>
    </w:p>
    <w:p w14:paraId="777DBB40">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Osnivač i/ili zakonski zastupnik ponuditelja koji je pravna osoba (jednostavno društvo sa ograničenom odgovornošću – j.d.o.o.), kojeg ponuditelja Društvo pozove na zaključivanje ugovora, dužan je na ime osiguranja novčane tražbine koja je predmet ugovora dostaviti bjanko zadužnicu solemniziranu po javnom bilježniku, izdanu u u iznosu jednogodišnje zakupnine, a kojom se isti obvezuje kao </w:t>
      </w:r>
      <w:r>
        <w:rPr>
          <w:rFonts w:ascii="Arial" w:hAnsi="Arial" w:cs="Arial"/>
          <w:b/>
          <w:sz w:val="20"/>
          <w:szCs w:val="20"/>
        </w:rPr>
        <w:t>jamac-platac</w:t>
      </w:r>
      <w:r>
        <w:rPr>
          <w:rFonts w:ascii="Arial" w:hAnsi="Arial" w:cs="Arial"/>
          <w:sz w:val="20"/>
          <w:szCs w:val="20"/>
        </w:rPr>
        <w:t xml:space="preserve"> isplatiti dospjelu nepodmirenu novčanu tražbinu zakupnika iz ugovora.</w:t>
      </w:r>
    </w:p>
    <w:p w14:paraId="14BF1DA2">
      <w:pPr>
        <w:pStyle w:val="12"/>
        <w:shd w:val="clear" w:color="auto" w:fill="FFFFFF"/>
        <w:spacing w:before="0" w:beforeAutospacing="0" w:after="0" w:afterAutospacing="0"/>
        <w:jc w:val="both"/>
        <w:rPr>
          <w:rFonts w:ascii="Arial" w:hAnsi="Arial" w:cs="Arial"/>
          <w:sz w:val="20"/>
          <w:szCs w:val="20"/>
        </w:rPr>
      </w:pPr>
    </w:p>
    <w:p w14:paraId="1EEEB59F">
      <w:pPr>
        <w:pStyle w:val="12"/>
        <w:shd w:val="clear" w:color="auto" w:fill="FFFFFF"/>
        <w:spacing w:before="0" w:beforeAutospacing="0" w:after="0" w:afterAutospacing="0"/>
        <w:jc w:val="both"/>
        <w:rPr>
          <w:rFonts w:ascii="Arial" w:hAnsi="Arial" w:cs="Arial"/>
          <w:b/>
        </w:rPr>
      </w:pPr>
      <w:r>
        <w:rPr>
          <w:rFonts w:ascii="Arial" w:hAnsi="Arial" w:cs="Arial"/>
          <w:b/>
        </w:rPr>
        <w:t>X. OSOBE KOJE MOGU SUDJELOVATI NA JAVNOM NATJEČAJU:</w:t>
      </w:r>
    </w:p>
    <w:p w14:paraId="139937A3">
      <w:pPr>
        <w:pStyle w:val="12"/>
        <w:shd w:val="clear" w:color="auto" w:fill="FFFFFF"/>
        <w:spacing w:before="0" w:beforeAutospacing="0" w:after="0" w:afterAutospacing="0"/>
        <w:jc w:val="both"/>
        <w:rPr>
          <w:rFonts w:ascii="Arial" w:hAnsi="Arial" w:cs="Arial"/>
          <w:b/>
          <w:i/>
          <w:sz w:val="20"/>
          <w:szCs w:val="20"/>
        </w:rPr>
      </w:pPr>
      <w:r>
        <w:rPr>
          <w:rFonts w:ascii="Arial" w:hAnsi="Arial" w:cs="Arial"/>
          <w:b/>
          <w:i/>
          <w:sz w:val="20"/>
          <w:szCs w:val="20"/>
        </w:rPr>
        <w:t xml:space="preserve">Na javnom natječaju ne može sudjelovati: </w:t>
      </w:r>
    </w:p>
    <w:p w14:paraId="4DFF74EF">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fizička osoba ili pravna osoba te zakonski zastupnik, odnosno ovlaštena osoba za zastupanje pravne osobe, za koju je na dan javnog otvaranja ponuda evidentirana dospjela nepodmirena obveza odnosno nepodmiren dug prema Društvu po bilo kojem osnovu, zaključno s mjesecom koji prethodi mjesecu podnošenja prijave na javni natječaj, osim ako je ponuditelju odobrena odgoda plaćanja navedenih obveza ili ako je s Društvom na drugi način regulirao podmirivanje obveza ili plaćanje duga, pod uvjetom da se pridržava rokova plaćanja te da iznos dugovanja podmiri do dana sklapanja ugovora o zakupu,</w:t>
      </w:r>
    </w:p>
    <w:p w14:paraId="6400F607">
      <w:pPr>
        <w:pStyle w:val="12"/>
        <w:shd w:val="clear" w:color="auto" w:fill="FFFFFF"/>
        <w:spacing w:before="0" w:beforeAutospacing="0" w:after="0" w:afterAutospacing="0"/>
        <w:jc w:val="both"/>
        <w:rPr>
          <w:rFonts w:hint="default" w:ascii="Arial" w:hAnsi="Arial" w:cs="Arial"/>
          <w:color w:val="000000" w:themeColor="text1"/>
          <w:sz w:val="20"/>
          <w:szCs w:val="20"/>
          <w:lang w:val="hr-HR"/>
          <w14:textFill>
            <w14:solidFill>
              <w14:schemeClr w14:val="tx1"/>
            </w14:solidFill>
          </w14:textFill>
        </w:rPr>
      </w:pPr>
      <w:r>
        <w:rPr>
          <w:rFonts w:ascii="Arial" w:hAnsi="Arial" w:cs="Arial"/>
          <w:sz w:val="20"/>
          <w:szCs w:val="20"/>
        </w:rPr>
        <w:t xml:space="preserve">– pravna ili fizička osoba koja je u sudskom postupku s Društvom po osnovi korištenja </w:t>
      </w:r>
      <w:r>
        <w:rPr>
          <w:rFonts w:ascii="Arial" w:hAnsi="Arial" w:cs="Arial"/>
          <w:color w:val="000000" w:themeColor="text1"/>
          <w:sz w:val="20"/>
          <w:szCs w:val="20"/>
          <w14:textFill>
            <w14:solidFill>
              <w14:schemeClr w14:val="tx1"/>
            </w14:solidFill>
          </w14:textFill>
        </w:rPr>
        <w:t>prodajnog mjesta</w:t>
      </w:r>
      <w:r>
        <w:rPr>
          <w:rFonts w:hint="default" w:ascii="Arial" w:hAnsi="Arial" w:cs="Arial"/>
          <w:color w:val="000000" w:themeColor="text1"/>
          <w:sz w:val="20"/>
          <w:szCs w:val="20"/>
          <w:lang w:val="hr-HR"/>
          <w14:textFill>
            <w14:solidFill>
              <w14:schemeClr w14:val="tx1"/>
            </w14:solidFill>
          </w14:textFill>
        </w:rPr>
        <w:t>.</w:t>
      </w:r>
    </w:p>
    <w:p w14:paraId="4C63C267">
      <w:pPr>
        <w:pStyle w:val="12"/>
        <w:shd w:val="clear" w:color="auto" w:fill="FFFFFF"/>
        <w:spacing w:before="0" w:beforeAutospacing="0" w:after="0" w:afterAutospacing="0"/>
        <w:jc w:val="both"/>
        <w:rPr>
          <w:rFonts w:hint="default" w:ascii="Arial" w:hAnsi="Arial" w:cs="Arial"/>
          <w:color w:val="000000" w:themeColor="text1"/>
          <w:sz w:val="20"/>
          <w:szCs w:val="20"/>
          <w:lang w:val="hr-HR"/>
          <w14:textFill>
            <w14:solidFill>
              <w14:schemeClr w14:val="tx1"/>
            </w14:solidFill>
          </w14:textFill>
        </w:rPr>
      </w:pPr>
    </w:p>
    <w:p w14:paraId="16F5E55C">
      <w:pPr>
        <w:pStyle w:val="12"/>
        <w:shd w:val="clear" w:color="auto" w:fill="FFFFFF"/>
        <w:spacing w:before="0" w:beforeAutospacing="0" w:after="0" w:afterAutospacing="0"/>
        <w:jc w:val="both"/>
        <w:rPr>
          <w:rFonts w:ascii="Arial" w:hAnsi="Arial" w:cs="Arial"/>
          <w:b/>
          <w:bCs/>
          <w:sz w:val="20"/>
          <w:szCs w:val="20"/>
        </w:rPr>
      </w:pPr>
      <w:r>
        <w:rPr>
          <w:rFonts w:ascii="Arial" w:hAnsi="Arial" w:cs="Arial"/>
          <w:b/>
          <w:bCs/>
          <w:sz w:val="20"/>
          <w:szCs w:val="20"/>
        </w:rPr>
        <w:t xml:space="preserve">Na natječaju mogu sudjelovati fizičke i pravne osobe, registrirane za djelatnost koja će se obavljati na zakupljenom </w:t>
      </w:r>
      <w:r>
        <w:rPr>
          <w:rFonts w:ascii="Arial" w:hAnsi="Arial" w:cs="Arial"/>
          <w:b/>
          <w:bCs/>
          <w:color w:val="000000" w:themeColor="text1"/>
          <w:sz w:val="20"/>
          <w:szCs w:val="20"/>
          <w14:textFill>
            <w14:solidFill>
              <w14:schemeClr w14:val="tx1"/>
            </w14:solidFill>
          </w14:textFill>
        </w:rPr>
        <w:t xml:space="preserve">prodajnom mjestu </w:t>
      </w:r>
      <w:r>
        <w:rPr>
          <w:rFonts w:ascii="Arial" w:hAnsi="Arial" w:cs="Arial"/>
          <w:b/>
          <w:bCs/>
          <w:sz w:val="20"/>
          <w:szCs w:val="20"/>
        </w:rPr>
        <w:t>sukladno ovom javnom natječaju.</w:t>
      </w:r>
    </w:p>
    <w:p w14:paraId="7C508051">
      <w:pPr>
        <w:pStyle w:val="12"/>
        <w:shd w:val="clear" w:color="auto" w:fill="FFFFFF"/>
        <w:spacing w:before="0" w:beforeAutospacing="0" w:after="0" w:afterAutospacing="0"/>
        <w:jc w:val="both"/>
        <w:rPr>
          <w:rFonts w:ascii="Arial" w:hAnsi="Arial" w:cs="Arial"/>
          <w:b/>
          <w:sz w:val="20"/>
          <w:szCs w:val="20"/>
        </w:rPr>
      </w:pPr>
    </w:p>
    <w:p w14:paraId="31EDFCE3">
      <w:pPr>
        <w:pStyle w:val="12"/>
        <w:shd w:val="clear" w:color="auto" w:fill="FFFFFF"/>
        <w:spacing w:before="0" w:beforeAutospacing="0" w:after="0" w:afterAutospacing="0"/>
        <w:jc w:val="both"/>
        <w:rPr>
          <w:rFonts w:ascii="Arial" w:hAnsi="Arial" w:cs="Arial"/>
          <w:b/>
          <w:sz w:val="20"/>
          <w:szCs w:val="20"/>
        </w:rPr>
      </w:pPr>
      <w:r>
        <w:rPr>
          <w:rFonts w:ascii="Arial" w:hAnsi="Arial" w:cs="Arial"/>
          <w:b/>
          <w:i/>
          <w:sz w:val="20"/>
          <w:szCs w:val="20"/>
          <w:u w:val="single"/>
        </w:rPr>
        <w:t>Napomena:</w:t>
      </w:r>
      <w:r>
        <w:rPr>
          <w:rFonts w:ascii="Arial" w:hAnsi="Arial" w:cs="Arial"/>
          <w:b/>
          <w:sz w:val="20"/>
          <w:szCs w:val="20"/>
        </w:rPr>
        <w:t xml:space="preserve"> </w:t>
      </w:r>
    </w:p>
    <w:p w14:paraId="1AFC8CDD">
      <w:pPr>
        <w:pStyle w:val="12"/>
        <w:numPr>
          <w:ilvl w:val="0"/>
          <w:numId w:val="3"/>
        </w:numPr>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Sve uplate kojima se podmiruju dugovanja prema Primorskom komunalnom društvu d.o.o., moraju biti izvršene (evidentirane na transakcijskim računima Primorskog komunalnog društva d.o.o. </w:t>
      </w:r>
      <w:r>
        <w:rPr>
          <w:rFonts w:ascii="Arial" w:hAnsi="Arial" w:cs="Arial"/>
          <w:b/>
          <w:color w:val="000000" w:themeColor="text1"/>
          <w:sz w:val="20"/>
          <w:szCs w:val="20"/>
          <w14:textFill>
            <w14:solidFill>
              <w14:schemeClr w14:val="tx1"/>
            </w14:solidFill>
          </w14:textFill>
        </w:rPr>
        <w:t xml:space="preserve">najkasnije 5 (pet) radnih dana  </w:t>
      </w:r>
      <w:r>
        <w:rPr>
          <w:rFonts w:ascii="Arial" w:hAnsi="Arial" w:cs="Arial"/>
          <w:sz w:val="20"/>
          <w:szCs w:val="20"/>
        </w:rPr>
        <w:t>(</w:t>
      </w:r>
      <w:r>
        <w:rPr>
          <w:rFonts w:ascii="Arial" w:hAnsi="Arial" w:cs="Arial"/>
          <w:sz w:val="20"/>
          <w:szCs w:val="20"/>
          <w:u w:val="single"/>
        </w:rPr>
        <w:t>radni dani nisu subota i nedjelja</w:t>
      </w:r>
      <w:r>
        <w:rPr>
          <w:rFonts w:ascii="Arial" w:hAnsi="Arial" w:cs="Arial"/>
          <w:sz w:val="20"/>
          <w:szCs w:val="20"/>
        </w:rPr>
        <w:t xml:space="preserve">) </w:t>
      </w:r>
      <w:r>
        <w:rPr>
          <w:rFonts w:ascii="Arial" w:hAnsi="Arial" w:cs="Arial"/>
          <w:b/>
          <w:sz w:val="20"/>
          <w:szCs w:val="20"/>
        </w:rPr>
        <w:t>prije otvranja ponuda.</w:t>
      </w:r>
    </w:p>
    <w:p w14:paraId="27C6F87E">
      <w:pPr>
        <w:pStyle w:val="12"/>
        <w:numPr>
          <w:ilvl w:val="0"/>
          <w:numId w:val="3"/>
        </w:numPr>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Na javnom natječaju ne može sudjelovati ponuditelj za koje Povjerenstvo prilikom otvaranja ponuda utvrdi da do dana provođenja javnog natječaja nije za prodajno mjesto za koji je podnio prijavu u korist računa Primorsko komunalno društvo d.o.o. uplatio utvrđeni iznos jamčevine i/ili dug.</w:t>
      </w:r>
    </w:p>
    <w:p w14:paraId="2C40A8BD">
      <w:pPr>
        <w:pStyle w:val="12"/>
        <w:shd w:val="clear" w:color="auto" w:fill="FFFFFF"/>
        <w:spacing w:before="0" w:beforeAutospacing="0" w:after="0" w:afterAutospacing="0"/>
        <w:jc w:val="both"/>
        <w:rPr>
          <w:rFonts w:ascii="Arial" w:hAnsi="Arial" w:cs="Arial"/>
          <w:sz w:val="20"/>
          <w:szCs w:val="20"/>
        </w:rPr>
      </w:pPr>
    </w:p>
    <w:p w14:paraId="09AFF7CB">
      <w:pPr>
        <w:pStyle w:val="12"/>
        <w:shd w:val="clear" w:color="auto" w:fill="FFFFFF"/>
        <w:spacing w:before="0" w:beforeAutospacing="0" w:after="0" w:afterAutospacing="0"/>
        <w:jc w:val="both"/>
        <w:rPr>
          <w:rFonts w:ascii="Arial" w:hAnsi="Arial" w:cs="Arial"/>
          <w:b/>
        </w:rPr>
      </w:pPr>
      <w:r>
        <w:rPr>
          <w:rFonts w:ascii="Arial" w:hAnsi="Arial" w:cs="Arial"/>
          <w:b/>
        </w:rPr>
        <w:t>XI. PUNOMOĆNICI PONUDITELJA:</w:t>
      </w:r>
    </w:p>
    <w:p w14:paraId="137F9186">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Opunomoćenik ponuditelja (fizičke ili pravne osobe) dužan je najkasnije do dana održavanja javnog otvaranja pisanih ponuda Društvu na adresu sjedišta Obala Ohmučevića 2, Slano, dostaviti punomoć za zastupanje (za fizičke osobe punomoć ovjerenu od javnog bilježnika, a za pravne osobe punomoć potpisanu od strane zakonskog zastupnika i ovjerenu pečatom pravne osobe), ako ponuditelj nije u mogućnosti osobno prisustvovati javnom otvaranju pisanih ponuda</w:t>
      </w:r>
    </w:p>
    <w:p w14:paraId="12AFE73C">
      <w:pPr>
        <w:pStyle w:val="12"/>
        <w:shd w:val="clear" w:color="auto" w:fill="FFFFFF"/>
        <w:spacing w:before="0" w:beforeAutospacing="0" w:after="0" w:afterAutospacing="0"/>
        <w:jc w:val="both"/>
        <w:rPr>
          <w:rFonts w:ascii="Arial" w:hAnsi="Arial" w:cs="Arial"/>
          <w:b/>
          <w:sz w:val="20"/>
          <w:szCs w:val="20"/>
        </w:rPr>
      </w:pPr>
    </w:p>
    <w:p w14:paraId="18369FDE">
      <w:pPr>
        <w:pStyle w:val="12"/>
        <w:shd w:val="clear" w:color="auto" w:fill="FFFFFF"/>
        <w:spacing w:before="0" w:beforeAutospacing="0" w:after="0" w:afterAutospacing="0"/>
        <w:jc w:val="both"/>
        <w:rPr>
          <w:rFonts w:ascii="Arial" w:hAnsi="Arial" w:cs="Arial"/>
          <w:b/>
        </w:rPr>
      </w:pPr>
      <w:r>
        <w:rPr>
          <w:rFonts w:ascii="Arial" w:hAnsi="Arial" w:cs="Arial"/>
          <w:b/>
        </w:rPr>
        <w:t>XII. ROK ZA ZAKLJUČIVANJE UGOVORA O ZAKUPU I PREUZIMANJE PRODAJNOG MJESTA:</w:t>
      </w:r>
    </w:p>
    <w:p w14:paraId="50E04907">
      <w:pPr>
        <w:pStyle w:val="12"/>
        <w:shd w:val="clear" w:color="auto" w:fill="FFFFFF"/>
        <w:spacing w:before="0" w:beforeAutospacing="0" w:after="0" w:afterAutospacing="0"/>
        <w:jc w:val="both"/>
        <w:rPr>
          <w:rFonts w:ascii="Arial" w:hAnsi="Arial" w:cs="Arial"/>
          <w:color w:val="000000" w:themeColor="text1"/>
          <w:sz w:val="20"/>
          <w:szCs w:val="20"/>
          <w14:textFill>
            <w14:solidFill>
              <w14:schemeClr w14:val="tx1"/>
            </w14:solidFill>
          </w14:textFill>
        </w:rPr>
      </w:pPr>
      <w:r>
        <w:rPr>
          <w:rFonts w:ascii="Arial" w:hAnsi="Arial" w:cs="Arial"/>
          <w:sz w:val="20"/>
          <w:szCs w:val="20"/>
        </w:rPr>
        <w:t xml:space="preserve">Najpovoljniji ponuditelj dužan je najkasnije u roku od </w:t>
      </w:r>
      <w:r>
        <w:rPr>
          <w:rFonts w:hint="default" w:ascii="Arial" w:hAnsi="Arial" w:cs="Arial"/>
          <w:b/>
          <w:bCs/>
          <w:sz w:val="20"/>
          <w:szCs w:val="20"/>
          <w:lang w:val="hr-HR"/>
        </w:rPr>
        <w:t>8</w:t>
      </w:r>
      <w:r>
        <w:rPr>
          <w:rFonts w:ascii="Arial" w:hAnsi="Arial" w:cs="Arial"/>
          <w:b/>
          <w:bCs/>
          <w:sz w:val="20"/>
          <w:szCs w:val="20"/>
        </w:rPr>
        <w:t xml:space="preserve"> dana</w:t>
      </w:r>
      <w:r>
        <w:rPr>
          <w:rFonts w:ascii="Arial" w:hAnsi="Arial" w:cs="Arial"/>
          <w:sz w:val="20"/>
          <w:szCs w:val="20"/>
        </w:rPr>
        <w:t xml:space="preserve"> od dana donošenja odluke o odabiru sklopiti ugovor o zakupu, a u roku od 8 dana od dana sklapanja ugovora o zakupu preuzeti </w:t>
      </w:r>
      <w:r>
        <w:rPr>
          <w:rFonts w:ascii="Arial" w:hAnsi="Arial" w:cs="Arial"/>
          <w:color w:val="000000" w:themeColor="text1"/>
          <w:sz w:val="20"/>
          <w:szCs w:val="20"/>
          <w14:textFill>
            <w14:solidFill>
              <w14:schemeClr w14:val="tx1"/>
            </w14:solidFill>
          </w14:textFill>
        </w:rPr>
        <w:t xml:space="preserve">prodajno mjesto. </w:t>
      </w:r>
    </w:p>
    <w:p w14:paraId="79950563">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Ako najpovoljniji ponuditelj ne postupi na ovaj način bez opravdanog razloga, odluka o odabiru toga ponuditelja će se poništiti, a zakup toga prodajnog mjesta ponudit će se prvom sljedećem rangiranom ponuditelju pod uvjetima koje je taj ponuditelj ponudio. </w:t>
      </w:r>
    </w:p>
    <w:p w14:paraId="0607CBE1">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Ukoliko za to prodajno mjesto nema drugih ponuditelja i/ili oni ne udovoljavaju uvjetima za odabir, odluka o odabiru ponuditelja za to prodajno mjesto će se poništiti, a javni natječaj za to prodajno mjesto će se ponoviti. </w:t>
      </w:r>
    </w:p>
    <w:p w14:paraId="181E5284">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Ponuditelj koji odustane od dodijeljenog mu prodajnog mjesta ili sklapanja ugovora o zakupu za isto, gubi uplaćeni iznos jamčevine te gubi pravo ponovno dostavljati svoju ponudu za isto </w:t>
      </w:r>
      <w:r>
        <w:rPr>
          <w:rFonts w:ascii="Arial" w:hAnsi="Arial" w:cs="Arial"/>
          <w:color w:val="000000" w:themeColor="text1"/>
          <w:sz w:val="20"/>
          <w:szCs w:val="20"/>
          <w14:textFill>
            <w14:solidFill>
              <w14:schemeClr w14:val="tx1"/>
            </w14:solidFill>
          </w14:textFill>
        </w:rPr>
        <w:t xml:space="preserve">prodajno mjesto </w:t>
      </w:r>
      <w:r>
        <w:rPr>
          <w:rFonts w:ascii="Arial" w:hAnsi="Arial" w:cs="Arial"/>
          <w:sz w:val="20"/>
          <w:szCs w:val="20"/>
        </w:rPr>
        <w:t>na prvom sljedećem javnom natječaju,</w:t>
      </w:r>
    </w:p>
    <w:p w14:paraId="269FA435">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Zakupnik uzima </w:t>
      </w:r>
      <w:r>
        <w:rPr>
          <w:rFonts w:ascii="Arial" w:hAnsi="Arial" w:cs="Arial"/>
          <w:color w:val="000000" w:themeColor="text1"/>
          <w:sz w:val="20"/>
          <w:szCs w:val="20"/>
          <w14:textFill>
            <w14:solidFill>
              <w14:schemeClr w14:val="tx1"/>
            </w14:solidFill>
          </w14:textFill>
        </w:rPr>
        <w:t xml:space="preserve">prodajno mjesto </w:t>
      </w:r>
      <w:r>
        <w:rPr>
          <w:rFonts w:ascii="Arial" w:hAnsi="Arial" w:cs="Arial"/>
          <w:sz w:val="20"/>
          <w:szCs w:val="20"/>
        </w:rPr>
        <w:t xml:space="preserve">u zakup u viđenom stanju, te ga je dužan urediti i privesti ugovorenoj djelatnosti o vlastitom trošku te se odriče bilo kakvog prava na naknadu za uložena sredstva s osnove izvođenja bilo kakvih radova u </w:t>
      </w:r>
      <w:r>
        <w:rPr>
          <w:rFonts w:ascii="Arial" w:hAnsi="Arial" w:cs="Arial"/>
          <w:color w:val="000000" w:themeColor="text1"/>
          <w:sz w:val="20"/>
          <w:szCs w:val="20"/>
          <w14:textFill>
            <w14:solidFill>
              <w14:schemeClr w14:val="tx1"/>
            </w14:solidFill>
          </w14:textFill>
        </w:rPr>
        <w:t xml:space="preserve">prodajnom mjestu </w:t>
      </w:r>
      <w:r>
        <w:rPr>
          <w:rFonts w:ascii="Arial" w:hAnsi="Arial" w:cs="Arial"/>
          <w:sz w:val="20"/>
          <w:szCs w:val="20"/>
        </w:rPr>
        <w:t>te se odriče prava primjene instituta stjecanja bez osnove i/ili poslovodstva bez naloga bez obzira da li je za takve radove imao ili nije imao suglasnost Društva.</w:t>
      </w:r>
    </w:p>
    <w:p w14:paraId="16B623AB">
      <w:pPr>
        <w:pStyle w:val="12"/>
        <w:shd w:val="clear" w:color="auto" w:fill="FFFFFF"/>
        <w:spacing w:before="0" w:beforeAutospacing="0" w:after="0" w:afterAutospacing="0"/>
        <w:jc w:val="both"/>
        <w:rPr>
          <w:rFonts w:ascii="Arial" w:hAnsi="Arial" w:cs="Arial"/>
          <w:sz w:val="20"/>
          <w:szCs w:val="20"/>
        </w:rPr>
      </w:pPr>
    </w:p>
    <w:p w14:paraId="4EEAB5F6">
      <w:pPr>
        <w:pStyle w:val="12"/>
        <w:shd w:val="clear" w:color="auto" w:fill="FFFFFF"/>
        <w:spacing w:before="0" w:beforeAutospacing="0" w:after="0" w:afterAutospacing="0"/>
        <w:jc w:val="both"/>
        <w:rPr>
          <w:rFonts w:ascii="Arial" w:hAnsi="Arial" w:cs="Arial"/>
          <w:b/>
        </w:rPr>
      </w:pPr>
      <w:r>
        <w:rPr>
          <w:rFonts w:ascii="Arial" w:hAnsi="Arial" w:cs="Arial"/>
          <w:b/>
        </w:rPr>
        <w:t>XIII. POVRAT JAMČEVINE:</w:t>
      </w:r>
    </w:p>
    <w:p w14:paraId="0753B573">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Odabrani ponuditelj koji ne sklopi ugovor o zakupu nema pravo na povrat jamčevine. </w:t>
      </w:r>
    </w:p>
    <w:p w14:paraId="78864F3B">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Ponuditelju čija ponuda nije prihvaćena, jamčevina se vraća u roku od 30 dana od dana donošenja odluke o odabiru. </w:t>
      </w:r>
    </w:p>
    <w:p w14:paraId="33735CC1">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Ponuditeljima koji odustanu u tijeku natječaja ili odustanu od sklapanja ugovora o zakupu, jamčevina se ne vraća. </w:t>
      </w:r>
    </w:p>
    <w:p w14:paraId="223B7F26">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Ponuditelju koji sklopi ugovor o zakupu, jamčevina se uračunava u zakupninu.</w:t>
      </w:r>
    </w:p>
    <w:p w14:paraId="7DA719DF">
      <w:pPr>
        <w:pStyle w:val="12"/>
        <w:shd w:val="clear" w:color="auto" w:fill="FFFFFF"/>
        <w:spacing w:before="0" w:beforeAutospacing="0" w:after="0" w:afterAutospacing="0"/>
        <w:jc w:val="both"/>
        <w:rPr>
          <w:rFonts w:ascii="Arial" w:hAnsi="Arial" w:cs="Arial"/>
          <w:b/>
        </w:rPr>
      </w:pPr>
    </w:p>
    <w:p w14:paraId="6EBCAFC3">
      <w:pPr>
        <w:pStyle w:val="12"/>
        <w:shd w:val="clear" w:color="auto" w:fill="FFFFFF"/>
        <w:spacing w:before="0" w:beforeAutospacing="0" w:after="0" w:afterAutospacing="0"/>
        <w:jc w:val="both"/>
        <w:rPr>
          <w:rFonts w:ascii="Arial" w:hAnsi="Arial" w:cs="Arial"/>
          <w:b/>
        </w:rPr>
      </w:pPr>
      <w:r>
        <w:rPr>
          <w:rFonts w:ascii="Arial" w:hAnsi="Arial" w:cs="Arial"/>
          <w:b/>
        </w:rPr>
        <w:t>XIV. PRIBAVLJANJE DOZVOLA ZA RAD I DOZVOLA ZA OBAVLJANJE DJELATNOSTI:</w:t>
      </w:r>
    </w:p>
    <w:p w14:paraId="34409ECD">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Ponuditelj s kojim Društvo zaključi ugovor o zakupu dužan je o svom trošku ishoditi sve potrebne dozvole odnosno akte koji su prema propisima potrebni za korištenje pojedinog prodajnog mjesta odnosno koji su mu potrebni za obavljanje djelatnosti na pojedinom prodajnom mjestu.</w:t>
      </w:r>
    </w:p>
    <w:p w14:paraId="49331961">
      <w:pPr>
        <w:pStyle w:val="12"/>
        <w:shd w:val="clear" w:color="auto" w:fill="FFFFFF"/>
        <w:spacing w:before="0" w:beforeAutospacing="0" w:after="0" w:afterAutospacing="0"/>
        <w:jc w:val="both"/>
        <w:rPr>
          <w:rFonts w:ascii="Arial" w:hAnsi="Arial" w:cs="Arial"/>
          <w:sz w:val="20"/>
          <w:szCs w:val="20"/>
        </w:rPr>
      </w:pPr>
    </w:p>
    <w:p w14:paraId="4F4EEA99">
      <w:pPr>
        <w:pStyle w:val="12"/>
        <w:shd w:val="clear" w:color="auto" w:fill="FFFFFF"/>
        <w:spacing w:before="0" w:beforeAutospacing="0" w:after="0" w:afterAutospacing="0"/>
        <w:jc w:val="both"/>
        <w:rPr>
          <w:rFonts w:ascii="Arial" w:hAnsi="Arial" w:cs="Arial"/>
          <w:b/>
        </w:rPr>
      </w:pPr>
      <w:r>
        <w:rPr>
          <w:rFonts w:ascii="Arial" w:hAnsi="Arial" w:cs="Arial"/>
          <w:b/>
        </w:rPr>
        <w:t>XV. DODATNE INFORMACIJE O JAVNOM NATJEČAJU MOGU SE DOBITI:</w:t>
      </w:r>
    </w:p>
    <w:p w14:paraId="09F3A935">
      <w:pPr>
        <w:pStyle w:val="12"/>
        <w:shd w:val="clear" w:color="auto" w:fill="FFFFFF"/>
        <w:spacing w:before="0" w:beforeAutospacing="0" w:after="0" w:afterAutospacing="0"/>
        <w:jc w:val="both"/>
        <w:rPr>
          <w:rFonts w:ascii="Arial" w:hAnsi="Arial" w:cs="Arial"/>
          <w:b/>
          <w:sz w:val="20"/>
          <w:szCs w:val="20"/>
        </w:rPr>
      </w:pPr>
      <w:r>
        <w:rPr>
          <w:rFonts w:ascii="Arial" w:hAnsi="Arial" w:cs="Arial"/>
          <w:sz w:val="20"/>
          <w:szCs w:val="20"/>
        </w:rPr>
        <w:t xml:space="preserve">Putem elektroničke pošte </w:t>
      </w:r>
      <w:r>
        <w:fldChar w:fldCharType="begin"/>
      </w:r>
      <w:r>
        <w:instrText xml:space="preserve"> HYPERLINK "mailto:primkom@dubrovackoprimorje.hr" </w:instrText>
      </w:r>
      <w:r>
        <w:fldChar w:fldCharType="separate"/>
      </w:r>
      <w:r>
        <w:rPr>
          <w:rStyle w:val="11"/>
          <w:rFonts w:ascii="Arial" w:hAnsi="Arial" w:cs="Arial"/>
          <w:b/>
          <w:sz w:val="20"/>
          <w:szCs w:val="20"/>
        </w:rPr>
        <w:t>primkom</w:t>
      </w:r>
      <w:r>
        <w:rPr>
          <w:rStyle w:val="11"/>
          <w:rFonts w:ascii="Aharoni" w:hAnsi="Aharoni" w:cs="Aharoni"/>
          <w:b/>
          <w:sz w:val="20"/>
          <w:szCs w:val="20"/>
        </w:rPr>
        <w:t>@</w:t>
      </w:r>
      <w:r>
        <w:rPr>
          <w:rStyle w:val="11"/>
          <w:rFonts w:ascii="Arial" w:hAnsi="Arial" w:cs="Arial"/>
          <w:b/>
          <w:sz w:val="20"/>
          <w:szCs w:val="20"/>
        </w:rPr>
        <w:t>dubrovackoprimorje.hr</w:t>
      </w:r>
      <w:r>
        <w:rPr>
          <w:rStyle w:val="11"/>
          <w:rFonts w:ascii="Arial" w:hAnsi="Arial" w:cs="Arial"/>
          <w:b/>
          <w:sz w:val="20"/>
          <w:szCs w:val="20"/>
        </w:rPr>
        <w:fldChar w:fldCharType="end"/>
      </w:r>
    </w:p>
    <w:p w14:paraId="4D3280FB">
      <w:pPr>
        <w:pStyle w:val="12"/>
        <w:shd w:val="clear" w:color="auto" w:fill="FFFFFF"/>
        <w:spacing w:before="0" w:beforeAutospacing="0" w:after="0" w:afterAutospacing="0"/>
        <w:jc w:val="both"/>
        <w:rPr>
          <w:rFonts w:ascii="Arial" w:hAnsi="Arial" w:cs="Arial"/>
          <w:b/>
          <w:i/>
          <w:sz w:val="22"/>
          <w:szCs w:val="22"/>
          <w:u w:val="single"/>
        </w:rPr>
      </w:pPr>
      <w:r>
        <w:rPr>
          <w:rFonts w:ascii="Arial" w:hAnsi="Arial" w:cs="Arial"/>
          <w:sz w:val="20"/>
          <w:szCs w:val="20"/>
        </w:rPr>
        <w:t>Kontakt (broj telefona):</w:t>
      </w:r>
      <w:r>
        <w:rPr>
          <w:rFonts w:ascii="Arial" w:hAnsi="Arial" w:cs="Arial"/>
          <w:b/>
          <w:sz w:val="20"/>
          <w:szCs w:val="20"/>
        </w:rPr>
        <w:t xml:space="preserve"> 020 871 088</w:t>
      </w:r>
    </w:p>
    <w:p w14:paraId="311D5DC6">
      <w:pPr>
        <w:pStyle w:val="12"/>
        <w:shd w:val="clear" w:color="auto" w:fill="FFFFFF"/>
        <w:spacing w:before="0" w:beforeAutospacing="0" w:after="0" w:afterAutospacing="0"/>
        <w:jc w:val="both"/>
        <w:rPr>
          <w:rFonts w:ascii="Arial" w:hAnsi="Arial" w:cs="Arial"/>
          <w:b/>
          <w:sz w:val="20"/>
          <w:szCs w:val="20"/>
        </w:rPr>
      </w:pPr>
    </w:p>
    <w:p w14:paraId="125607BE">
      <w:pPr>
        <w:pStyle w:val="12"/>
        <w:shd w:val="clear" w:color="auto" w:fill="FFFFFF"/>
        <w:spacing w:before="0" w:beforeAutospacing="0" w:after="0" w:afterAutospacing="0"/>
        <w:jc w:val="both"/>
        <w:rPr>
          <w:rFonts w:ascii="Arial" w:hAnsi="Arial" w:cs="Arial"/>
          <w:b/>
        </w:rPr>
      </w:pPr>
      <w:r>
        <w:rPr>
          <w:rFonts w:ascii="Arial" w:hAnsi="Arial" w:cs="Arial"/>
          <w:b/>
        </w:rPr>
        <w:t>XVI. NAJPOVOLJNIJA PONUDA:</w:t>
      </w:r>
    </w:p>
    <w:p w14:paraId="35432AA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Najpovoljnijom ponudom smatrat će se ona ponuda koja uz ispunjenje svih uvjeta iz javnog natječaja sadrži najveći broj bodova prema sljedećem kriteriju</w:t>
      </w:r>
    </w:p>
    <w:p w14:paraId="2251B1BB">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 </w:t>
      </w:r>
    </w:p>
    <w:p w14:paraId="76C7F158">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Koeficijent 0,70 (70%) – cijena</w:t>
      </w:r>
    </w:p>
    <w:p w14:paraId="29434AAA">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Koeficijent 0,10 (10%) – stanovnik Općine Dubrovačko primorje</w:t>
      </w:r>
    </w:p>
    <w:p w14:paraId="275A2E4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Koeficijent 0,10 (10%) -  nezaposleni </w:t>
      </w:r>
    </w:p>
    <w:p w14:paraId="7BC3A1F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Koeficijent 0,10 (10%) – hrvatski branitelj iz Domovinskog rata </w:t>
      </w:r>
    </w:p>
    <w:p w14:paraId="40FA66D1">
      <w:pPr>
        <w:pStyle w:val="12"/>
        <w:shd w:val="clear" w:color="auto" w:fill="FFFFFF"/>
        <w:spacing w:before="0" w:beforeAutospacing="0" w:after="0" w:afterAutospacing="0"/>
        <w:jc w:val="both"/>
        <w:rPr>
          <w:rFonts w:ascii="Arial" w:hAnsi="Arial" w:cs="Arial"/>
          <w:sz w:val="20"/>
          <w:szCs w:val="20"/>
        </w:rPr>
      </w:pPr>
    </w:p>
    <w:p w14:paraId="3496581E">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Formula za izračun najpovoljnije ponude: </w:t>
      </w:r>
    </w:p>
    <w:p w14:paraId="76CE093C">
      <w:pPr>
        <w:pStyle w:val="12"/>
        <w:shd w:val="clear" w:color="auto" w:fill="FFFFFF"/>
        <w:spacing w:before="0" w:beforeAutospacing="0" w:after="0" w:afterAutospacing="0"/>
        <w:jc w:val="both"/>
        <w:rPr>
          <w:rFonts w:ascii="Arial" w:hAnsi="Arial" w:cs="Arial"/>
          <w:sz w:val="20"/>
          <w:szCs w:val="20"/>
        </w:rPr>
      </w:pPr>
    </w:p>
    <w:p w14:paraId="3E9FFDF2">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Usklađena cijena ponude(UC) = Vrijednost ponude(VP)+stanovnik(ST)+nezaposleni (NZ)+ branitelj(B)</w:t>
      </w:r>
    </w:p>
    <w:p w14:paraId="28692324">
      <w:pPr>
        <w:pStyle w:val="12"/>
        <w:shd w:val="clear" w:color="auto" w:fill="FFFFFF"/>
        <w:spacing w:before="0" w:beforeAutospacing="0" w:after="0" w:afterAutospacing="0"/>
        <w:jc w:val="both"/>
        <w:rPr>
          <w:rFonts w:ascii="Arial" w:hAnsi="Arial" w:cs="Arial"/>
          <w:sz w:val="20"/>
          <w:szCs w:val="20"/>
        </w:rPr>
      </w:pPr>
    </w:p>
    <w:p w14:paraId="07E63152">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ab/>
      </w:r>
      <w:r>
        <w:rPr>
          <w:rFonts w:ascii="Arial" w:hAnsi="Arial" w:cs="Arial"/>
          <w:sz w:val="20"/>
          <w:szCs w:val="20"/>
        </w:rPr>
        <w:t xml:space="preserve">  Predmetna ponuda</w:t>
      </w:r>
    </w:p>
    <w:p w14:paraId="4859304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VP=------------------------------------------ X 0,70</w:t>
      </w:r>
    </w:p>
    <w:p w14:paraId="472548F7">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ab/>
      </w:r>
      <w:r>
        <w:rPr>
          <w:rFonts w:ascii="Arial" w:hAnsi="Arial" w:cs="Arial"/>
          <w:sz w:val="20"/>
          <w:szCs w:val="20"/>
        </w:rPr>
        <w:t>Najveći ponuđeni iznos</w:t>
      </w:r>
    </w:p>
    <w:p w14:paraId="2389F6E7">
      <w:pPr>
        <w:pStyle w:val="12"/>
        <w:shd w:val="clear" w:color="auto" w:fill="FFFFFF"/>
        <w:spacing w:before="0" w:beforeAutospacing="0" w:after="0" w:afterAutospacing="0"/>
        <w:jc w:val="both"/>
        <w:rPr>
          <w:rFonts w:ascii="Arial" w:hAnsi="Arial" w:cs="Arial"/>
          <w:sz w:val="20"/>
          <w:szCs w:val="20"/>
        </w:rPr>
      </w:pPr>
    </w:p>
    <w:p w14:paraId="22937619">
      <w:pPr>
        <w:pStyle w:val="12"/>
        <w:shd w:val="clear" w:color="auto" w:fill="FFFFFF"/>
        <w:spacing w:before="0" w:beforeAutospacing="0" w:after="0" w:afterAutospacing="0"/>
        <w:jc w:val="both"/>
        <w:rPr>
          <w:rFonts w:ascii="Arial" w:hAnsi="Arial" w:cs="Arial"/>
          <w:sz w:val="20"/>
          <w:szCs w:val="20"/>
        </w:rPr>
      </w:pPr>
    </w:p>
    <w:p w14:paraId="700F3816">
      <w:pPr>
        <w:pStyle w:val="12"/>
        <w:shd w:val="clear" w:color="auto" w:fill="FFFFFF"/>
        <w:spacing w:before="0" w:beforeAutospacing="0" w:after="0" w:afterAutospacing="0"/>
        <w:jc w:val="both"/>
        <w:rPr>
          <w:rFonts w:ascii="Arial" w:hAnsi="Arial" w:cs="Arial"/>
          <w:color w:val="000000" w:themeColor="text1"/>
          <w:sz w:val="20"/>
          <w:szCs w:val="20"/>
          <w14:textFill>
            <w14:solidFill>
              <w14:schemeClr w14:val="tx1"/>
            </w14:solidFill>
          </w14:textFill>
        </w:rPr>
      </w:pPr>
      <w:r>
        <w:rPr>
          <w:rFonts w:ascii="Arial" w:hAnsi="Arial" w:cs="Arial"/>
          <w:sz w:val="20"/>
          <w:szCs w:val="20"/>
        </w:rPr>
        <w:t xml:space="preserve">U slučaju da dva ili više ponuditelja koji su ispunili sve uvjete iz javnog natječaja steknu isti postotak koeficijenta, </w:t>
      </w:r>
      <w:r>
        <w:rPr>
          <w:rFonts w:ascii="Arial" w:hAnsi="Arial" w:cs="Arial"/>
          <w:color w:val="000000" w:themeColor="text1"/>
          <w:sz w:val="20"/>
          <w:szCs w:val="20"/>
          <w14:textFill>
            <w14:solidFill>
              <w14:schemeClr w14:val="tx1"/>
            </w14:solidFill>
          </w14:textFill>
        </w:rPr>
        <w:t>pravo prvenstva ima ponuditelj koji je ponudio najvišu ponudu, zatim stanovnik Općine Dubrovačko primorje, nezaposlen te hrvatski branitelj iz Domovinskog rata, te ukoliko i dalje ostaju dva ili više ponuditelja koji imaju isto pravo prvenstva po navedenim uvjetima, pravo prvenstva ima ponuda koja je ranije zaprimljena.</w:t>
      </w:r>
    </w:p>
    <w:p w14:paraId="48C3E1B8">
      <w:pPr>
        <w:pStyle w:val="12"/>
        <w:shd w:val="clear" w:color="auto" w:fill="FFFFFF"/>
        <w:spacing w:before="0" w:beforeAutospacing="0" w:after="0" w:afterAutospacing="0"/>
        <w:jc w:val="both"/>
        <w:rPr>
          <w:rFonts w:ascii="Arial" w:hAnsi="Arial" w:cs="Arial"/>
          <w:color w:val="000000" w:themeColor="text1"/>
          <w:sz w:val="20"/>
          <w:szCs w:val="20"/>
          <w14:textFill>
            <w14:solidFill>
              <w14:schemeClr w14:val="tx1"/>
            </w14:solidFill>
          </w14:textFill>
        </w:rPr>
      </w:pPr>
    </w:p>
    <w:p w14:paraId="616B0E68">
      <w:pPr>
        <w:pStyle w:val="12"/>
        <w:shd w:val="clear" w:color="auto" w:fill="FFFFFF"/>
        <w:spacing w:before="0" w:beforeAutospacing="0" w:after="0" w:afterAutospacing="0"/>
        <w:jc w:val="both"/>
        <w:rPr>
          <w:rFonts w:ascii="Arial" w:hAnsi="Arial" w:cs="Arial"/>
          <w:color w:val="000000" w:themeColor="text1"/>
          <w:sz w:val="20"/>
          <w:szCs w:val="20"/>
          <w14:textFill>
            <w14:solidFill>
              <w14:schemeClr w14:val="tx1"/>
            </w14:solidFill>
          </w14:textFill>
        </w:rPr>
      </w:pPr>
    </w:p>
    <w:p w14:paraId="4CAE2EBA">
      <w:pPr>
        <w:pStyle w:val="12"/>
        <w:shd w:val="clear" w:color="auto" w:fill="FFFFFF"/>
        <w:spacing w:before="0" w:beforeAutospacing="0" w:after="0" w:afterAutospacing="0"/>
        <w:rPr>
          <w:rFonts w:ascii="Arial" w:hAnsi="Arial" w:cs="Arial"/>
          <w:b/>
        </w:rPr>
      </w:pPr>
      <w:r>
        <w:rPr>
          <w:rFonts w:ascii="Arial" w:hAnsi="Arial" w:cs="Arial"/>
          <w:b/>
        </w:rPr>
        <w:t>XVII. ODLUKA O ODABIRU:</w:t>
      </w:r>
    </w:p>
    <w:p w14:paraId="68BD05A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Društvo donosi odluku o odabiru ili odluku o poništenju javnog natječaja u roku od 8 dana od dana otvaranja ponuda.</w:t>
      </w:r>
    </w:p>
    <w:p w14:paraId="46C639E5">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Odabrani ponuditelj dužan je s Društvom zaključiti ugovor o zakupu u roku od 8 dana od dana donošenja odluke o odabiru.</w:t>
      </w:r>
    </w:p>
    <w:p w14:paraId="13AD171B">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Ako najpovoljniji ponuditelj ne postupi na ovaj način bez opravdanog razloga, odluka o odabiru toga ponuditelja će se poništiti, a zakup toga </w:t>
      </w:r>
      <w:r>
        <w:rPr>
          <w:rFonts w:ascii="Arial" w:hAnsi="Arial" w:cs="Arial"/>
          <w:color w:val="000000" w:themeColor="text1"/>
          <w:sz w:val="20"/>
          <w:szCs w:val="20"/>
          <w14:textFill>
            <w14:solidFill>
              <w14:schemeClr w14:val="tx1"/>
            </w14:solidFill>
          </w14:textFill>
        </w:rPr>
        <w:t xml:space="preserve">prodajnog mjesta </w:t>
      </w:r>
      <w:r>
        <w:rPr>
          <w:rFonts w:ascii="Arial" w:hAnsi="Arial" w:cs="Arial"/>
          <w:sz w:val="20"/>
          <w:szCs w:val="20"/>
        </w:rPr>
        <w:t xml:space="preserve">ponudit će se prvom sljedećem rangiranom ponuditelju pod uvjetima koje je taj ponuditelj ponudio. Ukoliko za to prodajno mjesto nema drugih ponuditelja i/ili oni ne udovoljavaju uvjetima za odabir, odluka o odabiru ponuditelja za to </w:t>
      </w:r>
      <w:r>
        <w:rPr>
          <w:rFonts w:ascii="Arial" w:hAnsi="Arial" w:cs="Arial"/>
          <w:color w:val="000000" w:themeColor="text1"/>
          <w:sz w:val="20"/>
          <w:szCs w:val="20"/>
          <w14:textFill>
            <w14:solidFill>
              <w14:schemeClr w14:val="tx1"/>
            </w14:solidFill>
          </w14:textFill>
        </w:rPr>
        <w:t>prodajno mjesto</w:t>
      </w:r>
      <w:r>
        <w:rPr>
          <w:rFonts w:ascii="Arial" w:hAnsi="Arial" w:cs="Arial"/>
          <w:color w:val="FF0000"/>
          <w:sz w:val="20"/>
          <w:szCs w:val="20"/>
        </w:rPr>
        <w:t xml:space="preserve"> </w:t>
      </w:r>
      <w:r>
        <w:rPr>
          <w:rFonts w:ascii="Arial" w:hAnsi="Arial" w:cs="Arial"/>
          <w:sz w:val="20"/>
          <w:szCs w:val="20"/>
        </w:rPr>
        <w:t>će se poništiti, a javni natječaj za to prodajno mjesto će se ponoviti.</w:t>
      </w:r>
    </w:p>
    <w:p w14:paraId="005DE859">
      <w:pPr>
        <w:pStyle w:val="12"/>
        <w:shd w:val="clear" w:color="auto" w:fill="FFFFFF"/>
        <w:spacing w:before="0" w:beforeAutospacing="0" w:after="0" w:afterAutospacing="0"/>
        <w:rPr>
          <w:rFonts w:ascii="Arial" w:hAnsi="Arial" w:cs="Arial"/>
          <w:sz w:val="20"/>
          <w:szCs w:val="20"/>
        </w:rPr>
      </w:pPr>
    </w:p>
    <w:p w14:paraId="44E75427">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Odlukom o odabiru obvezno se utvrđuje:</w:t>
      </w:r>
    </w:p>
    <w:p w14:paraId="7397B2CB">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ime, prezime, prebivalište te osobni identifikacijski broj (OIB) odabranog ponuditelja (za fizičku osobu), </w:t>
      </w:r>
    </w:p>
    <w:p w14:paraId="000D4E90">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tvrtka i sjedište odabranog ponuditelja te osobni identifikacijski broj (OIB) (za pravnu </w:t>
      </w:r>
    </w:p>
    <w:p w14:paraId="53DC9BE8">
      <w:pPr>
        <w:pStyle w:val="12"/>
        <w:shd w:val="clear" w:color="auto" w:fill="FFFFFF"/>
        <w:spacing w:before="0" w:beforeAutospacing="0" w:after="0" w:afterAutospacing="0"/>
        <w:ind w:left="784"/>
        <w:jc w:val="both"/>
        <w:rPr>
          <w:rFonts w:ascii="Arial" w:hAnsi="Arial" w:cs="Arial"/>
          <w:sz w:val="20"/>
          <w:szCs w:val="20"/>
        </w:rPr>
      </w:pPr>
      <w:r>
        <w:rPr>
          <w:rFonts w:ascii="Arial" w:hAnsi="Arial" w:cs="Arial"/>
          <w:sz w:val="20"/>
          <w:szCs w:val="20"/>
        </w:rPr>
        <w:t>osobu),</w:t>
      </w:r>
    </w:p>
    <w:p w14:paraId="6A9075F1">
      <w:pPr>
        <w:pStyle w:val="12"/>
        <w:numPr>
          <w:ilvl w:val="0"/>
          <w:numId w:val="4"/>
        </w:numPr>
        <w:shd w:val="clear" w:color="auto" w:fill="FFFFFF"/>
        <w:spacing w:before="0" w:beforeAutospacing="0" w:after="0" w:afterAutospacing="0"/>
        <w:jc w:val="both"/>
        <w:rPr>
          <w:rFonts w:ascii="Arial" w:hAnsi="Arial" w:cs="Arial"/>
          <w:color w:val="FF0000"/>
          <w:sz w:val="20"/>
          <w:szCs w:val="20"/>
        </w:rPr>
      </w:pPr>
      <w:r>
        <w:rPr>
          <w:rFonts w:ascii="Arial" w:hAnsi="Arial" w:cs="Arial"/>
          <w:sz w:val="20"/>
          <w:szCs w:val="20"/>
        </w:rPr>
        <w:t xml:space="preserve">vrsta </w:t>
      </w:r>
      <w:r>
        <w:rPr>
          <w:rFonts w:ascii="Arial" w:hAnsi="Arial" w:cs="Arial"/>
          <w:color w:val="000000" w:themeColor="text1"/>
          <w:sz w:val="20"/>
          <w:szCs w:val="20"/>
          <w14:textFill>
            <w14:solidFill>
              <w14:schemeClr w14:val="tx1"/>
            </w14:solidFill>
          </w14:textFill>
        </w:rPr>
        <w:t>prodajnog mjesta</w:t>
      </w:r>
      <w:r>
        <w:rPr>
          <w:rFonts w:ascii="Arial" w:hAnsi="Arial" w:cs="Arial"/>
          <w:sz w:val="20"/>
          <w:szCs w:val="20"/>
        </w:rPr>
        <w:t xml:space="preserve"> i redni broj, površina i djelatnost </w:t>
      </w:r>
      <w:r>
        <w:rPr>
          <w:rFonts w:ascii="Arial" w:hAnsi="Arial" w:cs="Arial"/>
          <w:color w:val="000000" w:themeColor="text1"/>
          <w:sz w:val="20"/>
          <w:szCs w:val="20"/>
          <w14:textFill>
            <w14:solidFill>
              <w14:schemeClr w14:val="tx1"/>
            </w14:solidFill>
          </w14:textFill>
        </w:rPr>
        <w:t>prodajnog mjesta,</w:t>
      </w:r>
    </w:p>
    <w:p w14:paraId="029BD533">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mjesečna i godišnja zakupnina najpovoljnije ponude izražena u </w:t>
      </w:r>
      <w:r>
        <w:rPr>
          <w:rFonts w:hint="default" w:ascii="Arial" w:hAnsi="Arial" w:cs="Arial"/>
          <w:sz w:val="20"/>
          <w:szCs w:val="20"/>
          <w:lang w:val="hr-HR"/>
        </w:rPr>
        <w:t>eurima</w:t>
      </w:r>
      <w:r>
        <w:rPr>
          <w:rFonts w:ascii="Arial" w:hAnsi="Arial" w:cs="Arial"/>
          <w:sz w:val="20"/>
          <w:szCs w:val="20"/>
        </w:rPr>
        <w:t>,</w:t>
      </w:r>
    </w:p>
    <w:p w14:paraId="1F40B3C4">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jamstva,</w:t>
      </w:r>
    </w:p>
    <w:p w14:paraId="76613D69">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rok početka plaćanja zakupnine i početka obavljanja djelatnosti,</w:t>
      </w:r>
    </w:p>
    <w:p w14:paraId="4508980D">
      <w:pPr>
        <w:pStyle w:val="12"/>
        <w:numPr>
          <w:ilvl w:val="0"/>
          <w:numId w:val="4"/>
        </w:numPr>
        <w:shd w:val="clear" w:color="auto" w:fill="FFFFFF"/>
        <w:spacing w:before="0" w:beforeAutospacing="0" w:after="0" w:afterAutospacing="0"/>
        <w:jc w:val="both"/>
        <w:rPr>
          <w:rFonts w:ascii="Arial" w:hAnsi="Arial" w:cs="Arial"/>
          <w:color w:val="FF0000"/>
          <w:sz w:val="20"/>
          <w:szCs w:val="20"/>
        </w:rPr>
      </w:pPr>
      <w:r>
        <w:rPr>
          <w:rFonts w:ascii="Arial" w:hAnsi="Arial" w:cs="Arial"/>
          <w:sz w:val="20"/>
          <w:szCs w:val="20"/>
        </w:rPr>
        <w:t xml:space="preserve">dan i sat primopredaje </w:t>
      </w:r>
      <w:r>
        <w:rPr>
          <w:rFonts w:ascii="Arial" w:hAnsi="Arial" w:cs="Arial"/>
          <w:color w:val="000000" w:themeColor="text1"/>
          <w:sz w:val="20"/>
          <w:szCs w:val="20"/>
          <w14:textFill>
            <w14:solidFill>
              <w14:schemeClr w14:val="tx1"/>
            </w14:solidFill>
          </w14:textFill>
        </w:rPr>
        <w:t>prodajnog mjesta,</w:t>
      </w:r>
    </w:p>
    <w:p w14:paraId="0FFA7BE0">
      <w:pPr>
        <w:pStyle w:val="12"/>
        <w:numPr>
          <w:ilvl w:val="0"/>
          <w:numId w:val="4"/>
        </w:numPr>
        <w:shd w:val="clear" w:color="auto" w:fill="FFFFFF"/>
        <w:spacing w:before="0" w:beforeAutospacing="0" w:after="0" w:afterAutospacing="0"/>
        <w:jc w:val="both"/>
        <w:rPr>
          <w:rFonts w:ascii="Arial" w:hAnsi="Arial" w:cs="Arial"/>
          <w:sz w:val="20"/>
          <w:szCs w:val="20"/>
        </w:rPr>
      </w:pPr>
      <w:r>
        <w:rPr>
          <w:rFonts w:ascii="Arial" w:hAnsi="Arial" w:cs="Arial"/>
          <w:sz w:val="20"/>
          <w:szCs w:val="20"/>
        </w:rPr>
        <w:t>uputa o pravu na prigovor.</w:t>
      </w:r>
    </w:p>
    <w:p w14:paraId="5F0F8782">
      <w:pPr>
        <w:pStyle w:val="12"/>
        <w:shd w:val="clear" w:color="auto" w:fill="FFFFFF"/>
        <w:spacing w:before="0" w:beforeAutospacing="0" w:after="0" w:afterAutospacing="0"/>
        <w:jc w:val="both"/>
        <w:rPr>
          <w:rFonts w:ascii="Arial" w:hAnsi="Arial" w:cs="Arial"/>
          <w:sz w:val="20"/>
          <w:szCs w:val="20"/>
        </w:rPr>
      </w:pPr>
    </w:p>
    <w:p w14:paraId="66F31A87">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Preslika Odluke o odabiru dostavlja se svim ponuditeljima u roku od 5 dana od dana njezina donošenja. </w:t>
      </w:r>
    </w:p>
    <w:p w14:paraId="27086DCD">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Svaki ponuditelj ima pravo u roku od 8 dana od dana donošenja odluke o odabiru uložiti prigovor Povjerenstvu. Povjerenstvo je dužno donijeti odluku po prigovoru u roku od 5 dana od dana primitka prigovora. Odluka mora biti obrazložena i u pisanom otpravku dostavljena podnositelju prigovora.</w:t>
      </w:r>
    </w:p>
    <w:p w14:paraId="28BF2163">
      <w:pPr>
        <w:pStyle w:val="12"/>
        <w:shd w:val="clear" w:color="auto" w:fill="FFFFFF"/>
        <w:spacing w:before="0" w:beforeAutospacing="0" w:after="0" w:afterAutospacing="0"/>
        <w:jc w:val="both"/>
        <w:rPr>
          <w:rFonts w:ascii="Arial" w:hAnsi="Arial" w:cs="Arial"/>
          <w:sz w:val="20"/>
          <w:szCs w:val="20"/>
        </w:rPr>
      </w:pPr>
    </w:p>
    <w:p w14:paraId="24352029">
      <w:pPr>
        <w:pStyle w:val="12"/>
        <w:shd w:val="clear" w:color="auto" w:fill="FFFFFF"/>
        <w:spacing w:before="0" w:beforeAutospacing="0" w:after="0" w:afterAutospacing="0"/>
        <w:jc w:val="both"/>
        <w:rPr>
          <w:rFonts w:ascii="Arial" w:hAnsi="Arial" w:cs="Arial"/>
          <w:sz w:val="20"/>
          <w:szCs w:val="20"/>
        </w:rPr>
      </w:pPr>
    </w:p>
    <w:p w14:paraId="3277CF99">
      <w:pPr>
        <w:pStyle w:val="12"/>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                                                                                               </w:t>
      </w:r>
    </w:p>
    <w:p w14:paraId="39953D53">
      <w:pPr>
        <w:pStyle w:val="12"/>
        <w:shd w:val="clear" w:color="auto" w:fill="FFFFFF"/>
        <w:spacing w:before="0" w:beforeAutospacing="0" w:after="0" w:afterAutospacing="0"/>
        <w:jc w:val="both"/>
        <w:rPr>
          <w:rFonts w:ascii="Arial" w:hAnsi="Arial" w:cs="Arial"/>
          <w:sz w:val="20"/>
          <w:szCs w:val="20"/>
        </w:rPr>
      </w:pPr>
    </w:p>
    <w:p w14:paraId="008F9588">
      <w:pPr>
        <w:pStyle w:val="12"/>
        <w:shd w:val="clear" w:color="auto" w:fill="FFFFFF"/>
        <w:spacing w:before="0" w:beforeAutospacing="0" w:after="0" w:afterAutospacing="0"/>
        <w:jc w:val="both"/>
        <w:rPr>
          <w:rFonts w:ascii="Arial" w:hAnsi="Arial" w:cs="Arial"/>
          <w:sz w:val="20"/>
          <w:szCs w:val="20"/>
        </w:rPr>
      </w:pPr>
    </w:p>
    <w:p w14:paraId="7F5487C0">
      <w:pPr>
        <w:pStyle w:val="12"/>
        <w:shd w:val="clear" w:color="auto" w:fill="FFFFFF"/>
        <w:spacing w:before="0" w:beforeAutospacing="0" w:after="0" w:afterAutospacing="0"/>
        <w:jc w:val="both"/>
        <w:rPr>
          <w:rFonts w:ascii="Arial" w:hAnsi="Arial" w:cs="Arial"/>
          <w:sz w:val="20"/>
          <w:szCs w:val="20"/>
        </w:rPr>
      </w:pPr>
    </w:p>
    <w:p w14:paraId="73A1D329">
      <w:pPr>
        <w:pStyle w:val="12"/>
        <w:shd w:val="clear" w:color="auto" w:fill="FFFFFF"/>
        <w:spacing w:before="0" w:beforeAutospacing="0" w:after="0" w:afterAutospacing="0"/>
        <w:jc w:val="both"/>
        <w:rPr>
          <w:rFonts w:ascii="Arial" w:hAnsi="Arial" w:cs="Arial"/>
          <w:sz w:val="20"/>
          <w:szCs w:val="20"/>
        </w:rPr>
      </w:pPr>
    </w:p>
    <w:p w14:paraId="6CA8CD7F">
      <w:pPr>
        <w:pStyle w:val="12"/>
        <w:shd w:val="clear" w:color="auto" w:fill="FFFFFF"/>
        <w:spacing w:before="0" w:beforeAutospacing="0" w:after="0" w:afterAutospacing="0"/>
        <w:jc w:val="both"/>
        <w:rPr>
          <w:rFonts w:ascii="Arial" w:hAnsi="Arial" w:cs="Arial"/>
          <w:sz w:val="20"/>
          <w:szCs w:val="20"/>
        </w:rPr>
      </w:pPr>
    </w:p>
    <w:p w14:paraId="5BABDB1B">
      <w:pPr>
        <w:pStyle w:val="12"/>
        <w:shd w:val="clear" w:color="auto" w:fill="FFFFFF"/>
        <w:spacing w:before="0" w:beforeAutospacing="0" w:after="0" w:afterAutospacing="0"/>
        <w:jc w:val="both"/>
        <w:rPr>
          <w:rFonts w:ascii="Arial" w:hAnsi="Arial" w:cs="Arial"/>
          <w:sz w:val="20"/>
          <w:szCs w:val="20"/>
        </w:rPr>
      </w:pPr>
    </w:p>
    <w:p w14:paraId="6A6B0BDA">
      <w:pPr>
        <w:pStyle w:val="12"/>
        <w:shd w:val="clear" w:color="auto" w:fill="FFFFFF"/>
        <w:spacing w:before="0" w:beforeAutospacing="0" w:after="0" w:afterAutospacing="0"/>
        <w:jc w:val="center"/>
        <w:rPr>
          <w:rFonts w:ascii="Arial" w:hAnsi="Arial" w:cs="Arial"/>
          <w:b/>
          <w:sz w:val="22"/>
          <w:szCs w:val="22"/>
        </w:rPr>
      </w:pPr>
      <w:r>
        <w:rPr>
          <w:rFonts w:ascii="Arial" w:hAnsi="Arial" w:cs="Arial"/>
          <w:sz w:val="22"/>
          <w:szCs w:val="22"/>
        </w:rPr>
        <w:t xml:space="preserve">                                                  </w:t>
      </w:r>
      <w:r>
        <w:rPr>
          <w:rFonts w:ascii="Arial" w:hAnsi="Arial" w:cs="Arial"/>
          <w:b/>
          <w:sz w:val="22"/>
          <w:szCs w:val="22"/>
        </w:rPr>
        <w:t>Primorsko komunalno društvo d.o.o.</w:t>
      </w:r>
    </w:p>
    <w:p w14:paraId="6C3C602C">
      <w:pPr>
        <w:pStyle w:val="12"/>
        <w:shd w:val="clear" w:color="auto" w:fill="FFFFFF"/>
        <w:spacing w:before="0" w:beforeAutospacing="0" w:after="0" w:afterAutospacing="0"/>
        <w:jc w:val="both"/>
        <w:rPr>
          <w:rFonts w:ascii="Arial" w:hAnsi="Arial" w:cs="Arial"/>
          <w:b/>
          <w:sz w:val="20"/>
          <w:szCs w:val="20"/>
        </w:rPr>
      </w:pPr>
    </w:p>
    <w:p w14:paraId="47FA2D87">
      <w:pPr>
        <w:pStyle w:val="12"/>
        <w:shd w:val="clear" w:color="auto" w:fill="FFFFFF"/>
        <w:spacing w:before="0" w:beforeAutospacing="0" w:after="0" w:afterAutospacing="0"/>
        <w:jc w:val="both"/>
        <w:rPr>
          <w:rFonts w:ascii="Arial" w:hAnsi="Arial" w:cs="Arial"/>
          <w:b/>
          <w:sz w:val="20"/>
          <w:szCs w:val="20"/>
        </w:rPr>
      </w:pPr>
    </w:p>
    <w:p w14:paraId="59CF03C3">
      <w:pPr>
        <w:jc w:val="both"/>
      </w:pPr>
    </w:p>
    <w:p w14:paraId="7757C47F">
      <w:pPr>
        <w:jc w:val="both"/>
        <w:rPr>
          <w:rFonts w:hint="default"/>
          <w:b w:val="0"/>
          <w:bCs/>
          <w:lang w:val="hr-HR"/>
        </w:rPr>
      </w:pPr>
      <w:r>
        <w:rPr>
          <w:rFonts w:hint="default"/>
          <w:b w:val="0"/>
          <w:bCs/>
          <w:lang w:val="hr-HR"/>
        </w:rPr>
        <w:t>Klasa: 372-01/26-09/01</w:t>
      </w:r>
    </w:p>
    <w:p w14:paraId="15945643">
      <w:pPr>
        <w:jc w:val="both"/>
        <w:rPr>
          <w:rFonts w:hint="default"/>
          <w:b w:val="0"/>
          <w:bCs/>
          <w:lang w:val="hr-HR"/>
        </w:rPr>
      </w:pPr>
      <w:r>
        <w:rPr>
          <w:rFonts w:hint="default"/>
          <w:b w:val="0"/>
          <w:bCs/>
          <w:lang w:val="hr-HR"/>
        </w:rPr>
        <w:t>Urbroj: 2117-05-02/25-03-02/01</w:t>
      </w:r>
    </w:p>
    <w:p w14:paraId="2B6F888D">
      <w:pPr>
        <w:rPr>
          <w:rFonts w:ascii="Arial" w:hAnsi="Arial" w:cs="Arial"/>
          <w:b/>
          <w:sz w:val="32"/>
          <w:szCs w:val="32"/>
        </w:rPr>
      </w:pPr>
      <w:r>
        <w:rPr>
          <w:rFonts w:ascii="Arial" w:hAnsi="Arial" w:cs="Arial"/>
          <w:bCs/>
          <w:sz w:val="20"/>
          <w:szCs w:val="20"/>
        </w:rPr>
        <w:t>S</w:t>
      </w:r>
      <w:r>
        <w:rPr>
          <w:rFonts w:ascii="Arial" w:hAnsi="Arial" w:eastAsia="Times New Roman" w:cs="Arial"/>
          <w:sz w:val="20"/>
          <w:szCs w:val="20"/>
          <w:lang w:eastAsia="hr-HR"/>
        </w:rPr>
        <w:t xml:space="preserve">lano, </w:t>
      </w:r>
      <w:r>
        <w:rPr>
          <w:rFonts w:hint="default" w:ascii="Arial" w:hAnsi="Arial" w:eastAsia="Times New Roman" w:cs="Arial"/>
          <w:sz w:val="20"/>
          <w:szCs w:val="20"/>
          <w:lang w:val="en-US" w:eastAsia="hr-HR"/>
        </w:rPr>
        <w:t>08</w:t>
      </w:r>
      <w:r>
        <w:rPr>
          <w:rFonts w:ascii="Arial" w:hAnsi="Arial" w:eastAsia="Times New Roman" w:cs="Arial"/>
          <w:sz w:val="20"/>
          <w:szCs w:val="20"/>
          <w:lang w:eastAsia="hr-HR"/>
        </w:rPr>
        <w:t>.</w:t>
      </w:r>
      <w:r>
        <w:rPr>
          <w:rFonts w:hint="default" w:ascii="Arial" w:hAnsi="Arial" w:eastAsia="Times New Roman" w:cs="Arial"/>
          <w:sz w:val="20"/>
          <w:szCs w:val="20"/>
          <w:lang w:val="en-US" w:eastAsia="hr-HR"/>
        </w:rPr>
        <w:t>10</w:t>
      </w:r>
      <w:r>
        <w:rPr>
          <w:rFonts w:ascii="Arial" w:hAnsi="Arial" w:eastAsia="Times New Roman" w:cs="Arial"/>
          <w:sz w:val="20"/>
          <w:szCs w:val="20"/>
          <w:lang w:eastAsia="hr-HR"/>
        </w:rPr>
        <w:t>.202</w:t>
      </w:r>
      <w:r>
        <w:rPr>
          <w:rFonts w:hint="default" w:ascii="Arial" w:hAnsi="Arial" w:eastAsia="Times New Roman" w:cs="Arial"/>
          <w:sz w:val="20"/>
          <w:szCs w:val="20"/>
          <w:lang w:val="en-US" w:eastAsia="hr-HR"/>
        </w:rPr>
        <w:t>6</w:t>
      </w:r>
      <w:r>
        <w:rPr>
          <w:rFonts w:ascii="Arial" w:hAnsi="Arial" w:eastAsia="Times New Roman" w:cs="Arial"/>
          <w:sz w:val="20"/>
          <w:szCs w:val="20"/>
          <w:lang w:eastAsia="hr-HR"/>
        </w:rPr>
        <w:t>. godine</w:t>
      </w:r>
    </w:p>
    <w:p w14:paraId="0D427A27">
      <w:pPr>
        <w:jc w:val="center"/>
        <w:rPr>
          <w:rFonts w:ascii="Arial" w:hAnsi="Arial" w:cs="Arial"/>
          <w:b/>
          <w:sz w:val="32"/>
          <w:szCs w:val="32"/>
        </w:rPr>
      </w:pPr>
    </w:p>
    <w:p w14:paraId="3F8818F8">
      <w:pPr>
        <w:jc w:val="center"/>
        <w:rPr>
          <w:rFonts w:ascii="Arial" w:hAnsi="Arial" w:cs="Arial"/>
          <w:b/>
          <w:sz w:val="32"/>
          <w:szCs w:val="32"/>
        </w:rPr>
      </w:pPr>
    </w:p>
    <w:p w14:paraId="45887D2B">
      <w:pPr>
        <w:jc w:val="center"/>
        <w:rPr>
          <w:rFonts w:ascii="Arial" w:hAnsi="Arial" w:cs="Arial"/>
          <w:b/>
          <w:sz w:val="32"/>
          <w:szCs w:val="32"/>
        </w:rPr>
      </w:pPr>
    </w:p>
    <w:p w14:paraId="3B8EBF01">
      <w:pPr>
        <w:jc w:val="center"/>
        <w:rPr>
          <w:rFonts w:ascii="Arial" w:hAnsi="Arial" w:cs="Arial"/>
          <w:b/>
          <w:sz w:val="32"/>
          <w:szCs w:val="32"/>
        </w:rPr>
      </w:pPr>
    </w:p>
    <w:p w14:paraId="6EC2BA09">
      <w:pPr>
        <w:jc w:val="center"/>
        <w:rPr>
          <w:rFonts w:ascii="Arial" w:hAnsi="Arial" w:cs="Arial"/>
          <w:b/>
          <w:sz w:val="32"/>
          <w:szCs w:val="32"/>
        </w:rPr>
      </w:pPr>
    </w:p>
    <w:p w14:paraId="53D9FC90">
      <w:pPr>
        <w:jc w:val="center"/>
        <w:rPr>
          <w:rFonts w:ascii="Arial" w:hAnsi="Arial" w:cs="Arial"/>
          <w:b/>
          <w:sz w:val="32"/>
          <w:szCs w:val="32"/>
        </w:rPr>
      </w:pPr>
    </w:p>
    <w:p w14:paraId="5DEA17EA">
      <w:pPr>
        <w:jc w:val="center"/>
        <w:rPr>
          <w:rFonts w:ascii="Arial" w:hAnsi="Arial" w:cs="Arial"/>
          <w:b/>
          <w:sz w:val="32"/>
          <w:szCs w:val="32"/>
        </w:rPr>
      </w:pPr>
    </w:p>
    <w:p w14:paraId="46AA70A2">
      <w:pPr>
        <w:jc w:val="center"/>
        <w:rPr>
          <w:rFonts w:ascii="Arial" w:hAnsi="Arial" w:cs="Arial"/>
          <w:b/>
          <w:sz w:val="32"/>
          <w:szCs w:val="32"/>
        </w:rPr>
      </w:pPr>
    </w:p>
    <w:p w14:paraId="4B461DBE">
      <w:pPr>
        <w:jc w:val="center"/>
        <w:rPr>
          <w:rFonts w:ascii="Arial" w:hAnsi="Arial" w:cs="Arial"/>
          <w:b/>
          <w:sz w:val="32"/>
          <w:szCs w:val="32"/>
        </w:rPr>
      </w:pPr>
    </w:p>
    <w:p w14:paraId="3335C919">
      <w:pPr>
        <w:jc w:val="center"/>
        <w:rPr>
          <w:rFonts w:ascii="Arial" w:hAnsi="Arial" w:cs="Arial"/>
          <w:b/>
          <w:sz w:val="32"/>
          <w:szCs w:val="32"/>
        </w:rPr>
      </w:pPr>
    </w:p>
    <w:p w14:paraId="020DFCD6">
      <w:pPr>
        <w:jc w:val="center"/>
        <w:rPr>
          <w:rFonts w:ascii="Arial" w:hAnsi="Arial" w:cs="Arial"/>
          <w:b/>
          <w:sz w:val="32"/>
          <w:szCs w:val="32"/>
        </w:rPr>
      </w:pPr>
    </w:p>
    <w:p w14:paraId="6E52BBFB">
      <w:pPr>
        <w:jc w:val="center"/>
        <w:rPr>
          <w:rFonts w:ascii="Arial" w:hAnsi="Arial" w:cs="Arial"/>
          <w:b/>
          <w:sz w:val="32"/>
          <w:szCs w:val="32"/>
        </w:rPr>
      </w:pPr>
    </w:p>
    <w:p w14:paraId="2F5BDA0B">
      <w:pPr>
        <w:jc w:val="center"/>
        <w:rPr>
          <w:rFonts w:ascii="Arial" w:hAnsi="Arial" w:cs="Arial"/>
          <w:b/>
          <w:sz w:val="32"/>
          <w:szCs w:val="32"/>
        </w:rPr>
      </w:pPr>
    </w:p>
    <w:p w14:paraId="2AB21EA9">
      <w:pPr>
        <w:jc w:val="center"/>
        <w:rPr>
          <w:rFonts w:ascii="Arial" w:hAnsi="Arial" w:cs="Arial"/>
          <w:b/>
          <w:sz w:val="32"/>
          <w:szCs w:val="32"/>
        </w:rPr>
      </w:pPr>
    </w:p>
    <w:p w14:paraId="702E827F">
      <w:pPr>
        <w:jc w:val="center"/>
        <w:rPr>
          <w:rFonts w:ascii="Arial" w:hAnsi="Arial" w:cs="Arial"/>
          <w:b/>
          <w:sz w:val="32"/>
          <w:szCs w:val="32"/>
        </w:rPr>
      </w:pPr>
    </w:p>
    <w:p w14:paraId="43A5D6C3">
      <w:pPr>
        <w:jc w:val="center"/>
        <w:rPr>
          <w:rFonts w:ascii="Arial" w:hAnsi="Arial" w:cs="Arial"/>
          <w:b/>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720" w:right="720" w:bottom="720" w:left="720" w:header="708" w:footer="708" w:gutter="0"/>
          <w:cols w:space="708" w:num="1"/>
          <w:docGrid w:linePitch="360" w:charSpace="0"/>
        </w:sectPr>
      </w:pPr>
    </w:p>
    <w:p w14:paraId="70F98FA7">
      <w:pPr>
        <w:jc w:val="center"/>
        <w:rPr>
          <w:rFonts w:ascii="Arial" w:hAnsi="Arial" w:cs="Arial"/>
          <w:b/>
          <w:sz w:val="32"/>
          <w:szCs w:val="32"/>
        </w:rPr>
      </w:pPr>
      <w:r>
        <w:rPr>
          <w:rFonts w:ascii="Arial" w:hAnsi="Arial" w:cs="Arial"/>
          <w:b/>
          <w:sz w:val="32"/>
          <w:szCs w:val="32"/>
        </w:rPr>
        <w:t>POČETNE CIJENE ZA NATJEČAJ ZAKUPA PRODAJNIH MJESTA TRŽNICE SLANO</w:t>
      </w:r>
    </w:p>
    <w:p w14:paraId="7271F7F3">
      <w:pPr>
        <w:jc w:val="center"/>
      </w:pPr>
    </w:p>
    <w:p w14:paraId="23B0FA09">
      <w:pPr>
        <w:pStyle w:val="12"/>
        <w:shd w:val="clear" w:color="auto" w:fill="FFFFFF"/>
        <w:spacing w:before="0" w:beforeAutospacing="0" w:after="0" w:afterAutospacing="0"/>
        <w:jc w:val="both"/>
        <w:rPr>
          <w:rFonts w:ascii="Arial" w:hAnsi="Arial" w:cs="Arial"/>
          <w:b/>
        </w:rPr>
      </w:pPr>
      <w:r>
        <w:rPr>
          <w:rFonts w:ascii="Arial" w:hAnsi="Arial" w:cs="Arial"/>
          <w:b/>
        </w:rPr>
        <w:tab/>
      </w:r>
      <w:r>
        <w:rPr>
          <w:rFonts w:ascii="Arial" w:hAnsi="Arial" w:cs="Arial"/>
          <w:b/>
        </w:rPr>
        <w:tab/>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8"/>
        <w:gridCol w:w="2388"/>
        <w:gridCol w:w="4200"/>
        <w:gridCol w:w="3912"/>
      </w:tblGrid>
      <w:tr w14:paraId="7C0F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8" w:type="dxa"/>
            <w:shd w:val="clear" w:color="auto" w:fill="auto"/>
          </w:tcPr>
          <w:p w14:paraId="0E34CEB0">
            <w:pPr>
              <w:pStyle w:val="12"/>
              <w:spacing w:before="240" w:beforeAutospacing="0" w:after="0" w:afterAutospacing="0"/>
              <w:jc w:val="both"/>
              <w:rPr>
                <w:rFonts w:ascii="Arial" w:hAnsi="Arial" w:cs="Arial"/>
                <w:b/>
              </w:rPr>
            </w:pPr>
            <w:r>
              <w:rPr>
                <w:rFonts w:ascii="Arial" w:hAnsi="Arial" w:cs="Arial"/>
                <w:b/>
              </w:rPr>
              <w:t>Prodajno mjesto</w:t>
            </w:r>
          </w:p>
        </w:tc>
        <w:tc>
          <w:tcPr>
            <w:tcW w:w="2388" w:type="dxa"/>
            <w:shd w:val="clear" w:color="auto" w:fill="auto"/>
          </w:tcPr>
          <w:p w14:paraId="568CCF8C">
            <w:pPr>
              <w:pStyle w:val="12"/>
              <w:spacing w:before="240" w:beforeAutospacing="0" w:after="0" w:afterAutospacing="0"/>
              <w:jc w:val="both"/>
              <w:rPr>
                <w:rFonts w:ascii="Arial" w:hAnsi="Arial" w:cs="Arial"/>
                <w:b/>
              </w:rPr>
            </w:pPr>
            <w:r>
              <w:rPr>
                <w:rFonts w:ascii="Arial" w:hAnsi="Arial" w:cs="Arial"/>
                <w:b/>
              </w:rPr>
              <w:t>Jedinica mjere</w:t>
            </w:r>
          </w:p>
        </w:tc>
        <w:tc>
          <w:tcPr>
            <w:tcW w:w="4200" w:type="dxa"/>
            <w:shd w:val="clear" w:color="auto" w:fill="auto"/>
          </w:tcPr>
          <w:p w14:paraId="5463E8B7">
            <w:pPr>
              <w:pStyle w:val="12"/>
              <w:spacing w:before="240" w:beforeAutospacing="0" w:after="0" w:afterAutospacing="0"/>
              <w:jc w:val="center"/>
              <w:rPr>
                <w:rFonts w:ascii="Arial" w:hAnsi="Arial" w:cs="Arial"/>
                <w:b/>
              </w:rPr>
            </w:pPr>
            <w:r>
              <w:rPr>
                <w:rFonts w:ascii="Arial" w:hAnsi="Arial" w:cs="Arial"/>
                <w:b/>
              </w:rPr>
              <w:t>Početna cijena s PDV-om za robu široke potrošnje</w:t>
            </w:r>
          </w:p>
          <w:p w14:paraId="1B4C08EC">
            <w:pPr>
              <w:pStyle w:val="12"/>
              <w:spacing w:before="240" w:beforeAutospacing="0" w:after="0" w:afterAutospacing="0"/>
              <w:jc w:val="center"/>
              <w:rPr>
                <w:rFonts w:hint="default" w:ascii="Arial" w:hAnsi="Arial" w:cs="Arial"/>
                <w:b/>
                <w:lang w:val="hr-HR"/>
              </w:rPr>
            </w:pPr>
            <w:r>
              <w:rPr>
                <w:rFonts w:hint="default" w:ascii="Arial" w:hAnsi="Arial" w:cs="Arial"/>
                <w:b/>
                <w:lang w:val="hr-HR"/>
              </w:rPr>
              <w:t>EUR</w:t>
            </w:r>
          </w:p>
        </w:tc>
        <w:tc>
          <w:tcPr>
            <w:tcW w:w="3912" w:type="dxa"/>
            <w:shd w:val="clear" w:color="auto" w:fill="auto"/>
            <w:vAlign w:val="top"/>
          </w:tcPr>
          <w:p w14:paraId="1A22FDBC">
            <w:pPr>
              <w:pStyle w:val="12"/>
              <w:spacing w:before="240" w:beforeAutospacing="0" w:after="0" w:afterAutospacing="0"/>
              <w:jc w:val="center"/>
              <w:rPr>
                <w:rFonts w:hint="default" w:ascii="Arial" w:hAnsi="Arial" w:cs="Arial"/>
                <w:b/>
                <w:lang w:val="hr-HR"/>
              </w:rPr>
            </w:pPr>
            <w:r>
              <w:rPr>
                <w:rFonts w:ascii="Arial" w:hAnsi="Arial" w:cs="Arial"/>
                <w:b/>
              </w:rPr>
              <w:t>Početna cijena s PDV-om za voće, povrće i ribarnicu</w:t>
            </w:r>
            <w:r>
              <w:rPr>
                <w:rFonts w:hint="default" w:ascii="Arial" w:hAnsi="Arial" w:cs="Arial"/>
                <w:b/>
                <w:lang w:val="hr-HR"/>
              </w:rPr>
              <w:t xml:space="preserve"> </w:t>
            </w:r>
          </w:p>
          <w:p w14:paraId="6BDD2E2D">
            <w:pPr>
              <w:pStyle w:val="12"/>
              <w:spacing w:before="240" w:beforeAutospacing="0" w:after="0" w:afterAutospacing="0"/>
              <w:jc w:val="center"/>
              <w:rPr>
                <w:rFonts w:hint="default" w:ascii="Arial" w:hAnsi="Arial" w:eastAsia="Times New Roman" w:cs="Arial"/>
                <w:b/>
                <w:sz w:val="24"/>
                <w:szCs w:val="24"/>
                <w:lang w:val="hr-HR" w:eastAsia="hr-HR" w:bidi="ar-SA"/>
              </w:rPr>
            </w:pPr>
            <w:r>
              <w:rPr>
                <w:rFonts w:hint="default" w:ascii="Arial" w:hAnsi="Arial" w:cs="Arial"/>
                <w:b/>
                <w:lang w:val="hr-HR"/>
              </w:rPr>
              <w:t>EUR</w:t>
            </w:r>
          </w:p>
        </w:tc>
      </w:tr>
      <w:tr w14:paraId="2DCD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78" w:type="dxa"/>
            <w:shd w:val="clear" w:color="auto" w:fill="auto"/>
          </w:tcPr>
          <w:p w14:paraId="13F3614A">
            <w:pPr>
              <w:pStyle w:val="12"/>
              <w:spacing w:before="240" w:beforeAutospacing="0" w:after="0" w:afterAutospacing="0"/>
              <w:jc w:val="both"/>
              <w:rPr>
                <w:rFonts w:ascii="Arial" w:hAnsi="Arial" w:cs="Arial"/>
                <w:b/>
              </w:rPr>
            </w:pPr>
            <w:r>
              <w:rPr>
                <w:rFonts w:ascii="Arial" w:hAnsi="Arial" w:cs="Arial"/>
                <w:b/>
              </w:rPr>
              <w:t>Prodajno mjesto br. 1</w:t>
            </w:r>
          </w:p>
        </w:tc>
        <w:tc>
          <w:tcPr>
            <w:tcW w:w="2388" w:type="dxa"/>
            <w:shd w:val="clear" w:color="auto" w:fill="auto"/>
          </w:tcPr>
          <w:p w14:paraId="65EDE877">
            <w:pPr>
              <w:pStyle w:val="12"/>
              <w:spacing w:before="240" w:beforeAutospacing="0" w:after="0" w:afterAutospacing="0"/>
              <w:jc w:val="both"/>
              <w:rPr>
                <w:rFonts w:ascii="Arial" w:hAnsi="Arial" w:cs="Arial"/>
                <w:b/>
              </w:rPr>
            </w:pPr>
            <w:r>
              <w:rPr>
                <w:rFonts w:ascii="Arial" w:hAnsi="Arial" w:cs="Arial"/>
                <w:b/>
              </w:rPr>
              <w:t>komad/godišnje</w:t>
            </w:r>
          </w:p>
        </w:tc>
        <w:tc>
          <w:tcPr>
            <w:tcW w:w="4200" w:type="dxa"/>
            <w:shd w:val="clear" w:color="auto" w:fill="auto"/>
          </w:tcPr>
          <w:p w14:paraId="61A748FE">
            <w:pPr>
              <w:pStyle w:val="12"/>
              <w:spacing w:before="240" w:beforeAutospacing="0" w:after="0" w:afterAutospacing="0"/>
              <w:jc w:val="right"/>
              <w:rPr>
                <w:rFonts w:hint="default" w:ascii="Arial" w:hAnsi="Arial" w:cs="Arial"/>
                <w:b/>
                <w:lang w:val="hr-HR"/>
              </w:rPr>
            </w:pPr>
            <w:r>
              <w:rPr>
                <w:rFonts w:hint="default" w:ascii="Arial" w:hAnsi="Arial" w:cs="Arial"/>
                <w:b/>
                <w:lang w:val="hr-HR"/>
              </w:rPr>
              <w:t>1.592,67</w:t>
            </w:r>
          </w:p>
        </w:tc>
        <w:tc>
          <w:tcPr>
            <w:tcW w:w="3912" w:type="dxa"/>
            <w:shd w:val="clear" w:color="auto" w:fill="auto"/>
          </w:tcPr>
          <w:p w14:paraId="34BA89E1">
            <w:pPr>
              <w:pStyle w:val="12"/>
              <w:spacing w:before="240" w:beforeAutospacing="0" w:after="0" w:afterAutospacing="0"/>
              <w:jc w:val="right"/>
              <w:rPr>
                <w:rFonts w:hint="default" w:ascii="Arial" w:hAnsi="Arial" w:cs="Arial"/>
                <w:b/>
                <w:lang w:val="hr-HR"/>
              </w:rPr>
            </w:pPr>
            <w:r>
              <w:rPr>
                <w:rFonts w:hint="default" w:ascii="Arial" w:hAnsi="Arial" w:cs="Arial"/>
                <w:b/>
                <w:lang w:val="hr-HR"/>
              </w:rPr>
              <w:t>796,34</w:t>
            </w:r>
          </w:p>
        </w:tc>
      </w:tr>
      <w:tr w14:paraId="37BD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678" w:type="dxa"/>
            <w:shd w:val="clear" w:color="auto" w:fill="auto"/>
          </w:tcPr>
          <w:p w14:paraId="7970AE70">
            <w:pPr>
              <w:pStyle w:val="12"/>
              <w:spacing w:before="240" w:beforeAutospacing="0" w:after="0" w:afterAutospacing="0"/>
              <w:jc w:val="both"/>
              <w:rPr>
                <w:rFonts w:hint="default" w:ascii="Arial" w:hAnsi="Arial" w:cs="Arial"/>
                <w:b/>
                <w:lang w:val="hr-HR"/>
              </w:rPr>
            </w:pPr>
            <w:r>
              <w:rPr>
                <w:rFonts w:ascii="Arial" w:hAnsi="Arial" w:cs="Arial"/>
                <w:b/>
              </w:rPr>
              <w:t xml:space="preserve">Prodajno mjesto br. </w:t>
            </w:r>
            <w:r>
              <w:rPr>
                <w:rFonts w:hint="default" w:ascii="Arial" w:hAnsi="Arial" w:cs="Arial"/>
                <w:b/>
                <w:lang w:val="hr-HR"/>
              </w:rPr>
              <w:t>2</w:t>
            </w:r>
          </w:p>
        </w:tc>
        <w:tc>
          <w:tcPr>
            <w:tcW w:w="2388" w:type="dxa"/>
            <w:shd w:val="clear" w:color="auto" w:fill="auto"/>
          </w:tcPr>
          <w:p w14:paraId="57104ABE">
            <w:pPr>
              <w:pStyle w:val="12"/>
              <w:spacing w:before="240" w:beforeAutospacing="0" w:after="0" w:afterAutospacing="0"/>
              <w:jc w:val="both"/>
              <w:rPr>
                <w:rFonts w:ascii="Arial" w:hAnsi="Arial" w:cs="Arial"/>
                <w:b/>
              </w:rPr>
            </w:pPr>
            <w:r>
              <w:rPr>
                <w:rFonts w:ascii="Arial" w:hAnsi="Arial" w:cs="Arial"/>
                <w:b/>
              </w:rPr>
              <w:t>komad/godišnje</w:t>
            </w:r>
          </w:p>
        </w:tc>
        <w:tc>
          <w:tcPr>
            <w:tcW w:w="4200" w:type="dxa"/>
            <w:shd w:val="clear" w:color="auto" w:fill="auto"/>
          </w:tcPr>
          <w:p w14:paraId="27744B79">
            <w:pPr>
              <w:pStyle w:val="12"/>
              <w:spacing w:before="240" w:beforeAutospacing="0" w:after="0" w:afterAutospacing="0"/>
              <w:jc w:val="right"/>
              <w:rPr>
                <w:rFonts w:hint="default" w:ascii="Arial" w:hAnsi="Arial" w:cs="Arial"/>
                <w:b/>
                <w:lang w:val="hr-HR"/>
              </w:rPr>
            </w:pPr>
            <w:r>
              <w:rPr>
                <w:rFonts w:hint="default" w:ascii="Arial" w:hAnsi="Arial" w:cs="Arial"/>
                <w:b/>
                <w:lang w:val="hr-HR"/>
              </w:rPr>
              <w:t>1.592,67</w:t>
            </w:r>
          </w:p>
        </w:tc>
        <w:tc>
          <w:tcPr>
            <w:tcW w:w="3912" w:type="dxa"/>
            <w:shd w:val="clear" w:color="auto" w:fill="auto"/>
          </w:tcPr>
          <w:p w14:paraId="7832F325">
            <w:pPr>
              <w:pStyle w:val="12"/>
              <w:spacing w:before="240" w:beforeAutospacing="0" w:after="0" w:afterAutospacing="0"/>
              <w:jc w:val="right"/>
              <w:rPr>
                <w:rFonts w:hint="default" w:ascii="Arial" w:hAnsi="Arial" w:cs="Arial"/>
                <w:b/>
                <w:lang w:val="hr-HR"/>
              </w:rPr>
            </w:pPr>
            <w:r>
              <w:rPr>
                <w:rFonts w:hint="default" w:ascii="Arial" w:hAnsi="Arial" w:cs="Arial"/>
                <w:b/>
                <w:lang w:val="hr-HR"/>
              </w:rPr>
              <w:t>796,34</w:t>
            </w:r>
          </w:p>
        </w:tc>
      </w:tr>
      <w:tr w14:paraId="13FD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678" w:type="dxa"/>
            <w:shd w:val="clear" w:color="auto" w:fill="auto"/>
          </w:tcPr>
          <w:p w14:paraId="33233045">
            <w:pPr>
              <w:pStyle w:val="12"/>
              <w:spacing w:before="240" w:beforeAutospacing="0" w:after="0" w:afterAutospacing="0"/>
              <w:jc w:val="both"/>
              <w:rPr>
                <w:rFonts w:hint="default" w:ascii="Arial" w:hAnsi="Arial" w:cs="Arial"/>
                <w:b/>
                <w:lang w:val="hr-HR"/>
              </w:rPr>
            </w:pPr>
            <w:r>
              <w:rPr>
                <w:rFonts w:ascii="Arial" w:hAnsi="Arial" w:cs="Arial"/>
                <w:b/>
              </w:rPr>
              <w:t xml:space="preserve">Prodajno mjesto br. </w:t>
            </w:r>
            <w:r>
              <w:rPr>
                <w:rFonts w:hint="default" w:ascii="Arial" w:hAnsi="Arial" w:cs="Arial"/>
                <w:b/>
                <w:lang w:val="hr-HR"/>
              </w:rPr>
              <w:t>3</w:t>
            </w:r>
          </w:p>
        </w:tc>
        <w:tc>
          <w:tcPr>
            <w:tcW w:w="2388" w:type="dxa"/>
            <w:shd w:val="clear" w:color="auto" w:fill="auto"/>
          </w:tcPr>
          <w:p w14:paraId="5487D23D">
            <w:pPr>
              <w:pStyle w:val="12"/>
              <w:spacing w:before="240" w:beforeAutospacing="0" w:after="0" w:afterAutospacing="0"/>
              <w:jc w:val="both"/>
              <w:rPr>
                <w:rFonts w:ascii="Arial" w:hAnsi="Arial" w:cs="Arial"/>
                <w:b/>
              </w:rPr>
            </w:pPr>
            <w:r>
              <w:rPr>
                <w:rFonts w:ascii="Arial" w:hAnsi="Arial" w:cs="Arial"/>
                <w:b/>
              </w:rPr>
              <w:t>komad/godišnje</w:t>
            </w:r>
          </w:p>
        </w:tc>
        <w:tc>
          <w:tcPr>
            <w:tcW w:w="4200" w:type="dxa"/>
            <w:shd w:val="clear" w:color="auto" w:fill="auto"/>
          </w:tcPr>
          <w:p w14:paraId="585AEC99">
            <w:pPr>
              <w:pStyle w:val="12"/>
              <w:spacing w:before="240" w:beforeAutospacing="0" w:after="0" w:afterAutospacing="0"/>
              <w:jc w:val="right"/>
              <w:rPr>
                <w:rFonts w:hint="default" w:ascii="Arial" w:hAnsi="Arial" w:cs="Arial"/>
                <w:b/>
                <w:lang w:val="hr-HR"/>
              </w:rPr>
            </w:pPr>
            <w:r>
              <w:rPr>
                <w:rFonts w:hint="default" w:ascii="Arial" w:hAnsi="Arial" w:cs="Arial"/>
                <w:b/>
                <w:lang w:val="hr-HR"/>
              </w:rPr>
              <w:t>2.389,01</w:t>
            </w:r>
          </w:p>
        </w:tc>
        <w:tc>
          <w:tcPr>
            <w:tcW w:w="3912" w:type="dxa"/>
            <w:shd w:val="clear" w:color="auto" w:fill="auto"/>
          </w:tcPr>
          <w:p w14:paraId="499A9C3C">
            <w:pPr>
              <w:pStyle w:val="12"/>
              <w:spacing w:before="240" w:beforeAutospacing="0" w:after="0" w:afterAutospacing="0"/>
              <w:jc w:val="right"/>
              <w:rPr>
                <w:rFonts w:hint="default" w:ascii="Arial" w:hAnsi="Arial" w:cs="Arial"/>
                <w:b/>
                <w:lang w:val="hr-HR"/>
              </w:rPr>
            </w:pPr>
            <w:r>
              <w:rPr>
                <w:rFonts w:hint="default" w:ascii="Arial" w:hAnsi="Arial" w:cs="Arial"/>
                <w:b/>
                <w:lang w:val="hr-HR"/>
              </w:rPr>
              <w:t>1.194,51</w:t>
            </w:r>
          </w:p>
        </w:tc>
      </w:tr>
    </w:tbl>
    <w:p w14:paraId="2FD26C25">
      <w:pPr>
        <w:pStyle w:val="12"/>
        <w:shd w:val="clear" w:color="auto" w:fill="FFFFFF"/>
        <w:spacing w:before="0" w:beforeAutospacing="0" w:after="0" w:afterAutospacing="0"/>
        <w:jc w:val="both"/>
        <w:rPr>
          <w:rFonts w:ascii="Arial" w:hAnsi="Arial" w:cs="Arial"/>
          <w:b/>
        </w:rPr>
      </w:pPr>
    </w:p>
    <w:p w14:paraId="103EC639">
      <w:pPr>
        <w:jc w:val="both"/>
      </w:pPr>
    </w:p>
    <w:p w14:paraId="4A0A2767">
      <w:pPr>
        <w:jc w:val="both"/>
        <w:rPr>
          <w:rFonts w:hint="default"/>
          <w:b/>
          <w:lang w:val="hr-HR"/>
        </w:rPr>
        <w:sectPr>
          <w:pgSz w:w="16838" w:h="11906" w:orient="landscape"/>
          <w:pgMar w:top="720" w:right="720" w:bottom="720" w:left="720" w:header="708" w:footer="709" w:gutter="0"/>
          <w:cols w:space="0" w:num="1"/>
          <w:rtlGutter w:val="0"/>
          <w:docGrid w:linePitch="360" w:charSpace="0"/>
        </w:sectPr>
      </w:pPr>
      <w:r>
        <w:rPr>
          <w:rFonts w:ascii="Arial" w:hAnsi="Arial" w:cs="Arial"/>
          <w:sz w:val="20"/>
          <w:szCs w:val="20"/>
        </w:rPr>
        <w:t xml:space="preserve">Slano, </w:t>
      </w:r>
      <w:r>
        <w:rPr>
          <w:rFonts w:hint="default" w:ascii="Arial" w:hAnsi="Arial" w:cs="Arial"/>
          <w:sz w:val="20"/>
          <w:szCs w:val="20"/>
          <w:lang w:val="hr-HR"/>
        </w:rPr>
        <w:t>08</w:t>
      </w:r>
      <w:r>
        <w:rPr>
          <w:rFonts w:ascii="Arial" w:hAnsi="Arial" w:cs="Arial"/>
          <w:sz w:val="20"/>
          <w:szCs w:val="20"/>
        </w:rPr>
        <w:t>.</w:t>
      </w:r>
      <w:r>
        <w:rPr>
          <w:rFonts w:hint="default" w:ascii="Arial" w:hAnsi="Arial" w:cs="Arial"/>
          <w:sz w:val="20"/>
          <w:szCs w:val="20"/>
          <w:lang w:val="hr-HR"/>
        </w:rPr>
        <w:t>10</w:t>
      </w:r>
      <w:r>
        <w:rPr>
          <w:rFonts w:ascii="Arial" w:hAnsi="Arial" w:cs="Arial"/>
          <w:sz w:val="20"/>
          <w:szCs w:val="20"/>
        </w:rPr>
        <w:t>. 202</w:t>
      </w:r>
      <w:r>
        <w:rPr>
          <w:rFonts w:hint="default" w:ascii="Arial" w:hAnsi="Arial" w:cs="Arial"/>
          <w:sz w:val="20"/>
          <w:szCs w:val="20"/>
          <w:lang w:val="hr-HR"/>
        </w:rPr>
        <w:t>6</w:t>
      </w:r>
      <w:r>
        <w:rPr>
          <w:rFonts w:ascii="Arial" w:hAnsi="Arial" w:cs="Arial"/>
          <w:sz w:val="20"/>
          <w:szCs w:val="20"/>
        </w:rPr>
        <w:t>. godin</w:t>
      </w:r>
      <w:r>
        <w:rPr>
          <w:rFonts w:hint="default" w:ascii="Arial" w:hAnsi="Arial" w:cs="Arial"/>
          <w:sz w:val="20"/>
          <w:szCs w:val="20"/>
          <w:lang w:val="hr-HR"/>
        </w:rPr>
        <w:t>e.</w:t>
      </w:r>
    </w:p>
    <w:p w14:paraId="37BB52CA">
      <w:pPr>
        <w:rPr>
          <w:b/>
        </w:rPr>
      </w:pPr>
    </w:p>
    <w:p w14:paraId="350F7AF2">
      <w:pPr>
        <w:jc w:val="center"/>
        <w:rPr>
          <w:rFonts w:hint="default"/>
          <w:sz w:val="28"/>
          <w:szCs w:val="28"/>
          <w:lang w:val="hr-HR"/>
        </w:rPr>
      </w:pPr>
      <w:r>
        <w:rPr>
          <w:rFonts w:hint="default"/>
          <w:b/>
          <w:sz w:val="28"/>
          <w:szCs w:val="28"/>
          <w:lang w:val="hr-HR"/>
        </w:rPr>
        <w:t>PLAN PRODAJNIH MJESTA TRŽNICE SLANO</w:t>
      </w:r>
    </w:p>
    <w:p w14:paraId="5C99D103">
      <w:pPr>
        <w:rPr>
          <w:rFonts w:hint="default"/>
          <w:lang w:val="hr-HR"/>
        </w:rPr>
      </w:pPr>
      <w:r>
        <w:rPr>
          <w:rFonts w:hint="default"/>
          <w:lang w:val="hr-HR"/>
        </w:rPr>
        <w:t xml:space="preserve">                                                                                                                                                                                                                   </w:t>
      </w:r>
    </w:p>
    <w:tbl>
      <w:tblPr>
        <w:tblStyle w:val="3"/>
        <w:tblpPr w:leftFromText="180" w:rightFromText="180" w:vertAnchor="text" w:horzAnchor="page" w:tblpX="5966" w:tblpY="245"/>
        <w:tblOverlap w:val="never"/>
        <w:tblW w:w="25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037"/>
        <w:gridCol w:w="540"/>
      </w:tblGrid>
      <w:tr w14:paraId="1C1EB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60" w:type="dxa"/>
            <w:tcBorders>
              <w:top w:val="single" w:color="000000" w:sz="8" w:space="0"/>
              <w:left w:val="single" w:color="000000" w:sz="8" w:space="0"/>
              <w:bottom w:val="nil"/>
              <w:right w:val="nil"/>
            </w:tcBorders>
            <w:shd w:val="clear" w:color="auto" w:fill="auto"/>
            <w:noWrap/>
            <w:vAlign w:val="bottom"/>
          </w:tcPr>
          <w:p w14:paraId="5D8F09E9">
            <w:pPr>
              <w:rPr>
                <w:rFonts w:hint="eastAsia" w:ascii="Calibri" w:hAnsi="Calibri" w:cs="Calibri"/>
                <w:b/>
                <w:bCs/>
                <w:i w:val="0"/>
                <w:iCs w:val="0"/>
                <w:color w:val="000000"/>
                <w:sz w:val="24"/>
                <w:szCs w:val="24"/>
                <w:u w:val="none"/>
              </w:rPr>
            </w:pPr>
          </w:p>
        </w:tc>
        <w:tc>
          <w:tcPr>
            <w:tcW w:w="1037" w:type="dxa"/>
            <w:tcBorders>
              <w:top w:val="single" w:color="000000" w:sz="8" w:space="0"/>
              <w:left w:val="nil"/>
              <w:bottom w:val="nil"/>
              <w:right w:val="nil"/>
            </w:tcBorders>
            <w:shd w:val="clear" w:color="auto" w:fill="auto"/>
            <w:noWrap/>
            <w:vAlign w:val="bottom"/>
          </w:tcPr>
          <w:p w14:paraId="05F80870">
            <w:pPr>
              <w:rPr>
                <w:rFonts w:hint="default" w:ascii="Calibri" w:hAnsi="Calibri" w:cs="Calibri"/>
                <w:b/>
                <w:bCs/>
                <w:i w:val="0"/>
                <w:iCs w:val="0"/>
                <w:color w:val="000000"/>
                <w:sz w:val="24"/>
                <w:szCs w:val="24"/>
                <w:u w:val="none"/>
              </w:rPr>
            </w:pPr>
          </w:p>
        </w:tc>
        <w:tc>
          <w:tcPr>
            <w:tcW w:w="540" w:type="dxa"/>
            <w:tcBorders>
              <w:top w:val="single" w:color="000000" w:sz="8" w:space="0"/>
              <w:left w:val="nil"/>
              <w:bottom w:val="nil"/>
              <w:right w:val="single" w:color="000000" w:sz="8" w:space="0"/>
            </w:tcBorders>
            <w:shd w:val="clear" w:color="auto" w:fill="auto"/>
            <w:noWrap/>
            <w:vAlign w:val="bottom"/>
          </w:tcPr>
          <w:p w14:paraId="41243788">
            <w:pPr>
              <w:rPr>
                <w:rFonts w:hint="default" w:ascii="Calibri" w:hAnsi="Calibri" w:cs="Calibri"/>
                <w:b/>
                <w:bCs/>
                <w:i w:val="0"/>
                <w:iCs w:val="0"/>
                <w:color w:val="000000"/>
                <w:sz w:val="24"/>
                <w:szCs w:val="24"/>
                <w:u w:val="none"/>
              </w:rPr>
            </w:pPr>
          </w:p>
        </w:tc>
      </w:tr>
      <w:tr w14:paraId="69EB4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60" w:type="dxa"/>
            <w:tcBorders>
              <w:top w:val="nil"/>
              <w:left w:val="single" w:color="000000" w:sz="8" w:space="0"/>
              <w:bottom w:val="nil"/>
              <w:right w:val="nil"/>
            </w:tcBorders>
            <w:shd w:val="clear" w:color="auto" w:fill="auto"/>
            <w:noWrap/>
            <w:vAlign w:val="bottom"/>
          </w:tcPr>
          <w:p w14:paraId="32C0E877">
            <w:pPr>
              <w:rPr>
                <w:rFonts w:hint="default" w:ascii="Calibri" w:hAnsi="Calibri" w:cs="Calibri"/>
                <w:b/>
                <w:bCs/>
                <w:i w:val="0"/>
                <w:iCs w:val="0"/>
                <w:color w:val="000000"/>
                <w:sz w:val="24"/>
                <w:szCs w:val="24"/>
                <w:u w:val="none"/>
              </w:rPr>
            </w:pPr>
          </w:p>
        </w:tc>
        <w:tc>
          <w:tcPr>
            <w:tcW w:w="1037" w:type="dxa"/>
            <w:tcBorders>
              <w:top w:val="nil"/>
              <w:left w:val="nil"/>
              <w:bottom w:val="nil"/>
              <w:right w:val="nil"/>
            </w:tcBorders>
            <w:shd w:val="clear" w:color="auto" w:fill="auto"/>
            <w:noWrap/>
            <w:vAlign w:val="bottom"/>
          </w:tcPr>
          <w:p w14:paraId="75CA23C8">
            <w:pPr>
              <w:rPr>
                <w:rFonts w:hint="default" w:ascii="Calibri" w:hAnsi="Calibri" w:cs="Calibri"/>
                <w:b/>
                <w:bCs/>
                <w:i w:val="0"/>
                <w:iCs w:val="0"/>
                <w:color w:val="000000"/>
                <w:sz w:val="24"/>
                <w:szCs w:val="24"/>
                <w:u w:val="none"/>
              </w:rPr>
            </w:pPr>
          </w:p>
        </w:tc>
        <w:tc>
          <w:tcPr>
            <w:tcW w:w="540" w:type="dxa"/>
            <w:tcBorders>
              <w:top w:val="nil"/>
              <w:left w:val="nil"/>
              <w:bottom w:val="nil"/>
              <w:right w:val="single" w:color="000000" w:sz="8" w:space="0"/>
            </w:tcBorders>
            <w:shd w:val="clear" w:color="auto" w:fill="auto"/>
            <w:noWrap/>
            <w:vAlign w:val="bottom"/>
          </w:tcPr>
          <w:p w14:paraId="0982921A">
            <w:pPr>
              <w:rPr>
                <w:rFonts w:hint="default" w:ascii="Calibri" w:hAnsi="Calibri" w:cs="Calibri"/>
                <w:b/>
                <w:bCs/>
                <w:i w:val="0"/>
                <w:iCs w:val="0"/>
                <w:color w:val="000000"/>
                <w:sz w:val="24"/>
                <w:szCs w:val="24"/>
                <w:u w:val="none"/>
              </w:rPr>
            </w:pPr>
            <w:r>
              <mc:AlternateContent>
                <mc:Choice Requires="wps">
                  <w:drawing>
                    <wp:anchor distT="0" distB="0" distL="114300" distR="114300" simplePos="0" relativeHeight="251659264" behindDoc="0" locked="0" layoutInCell="1" allowOverlap="1">
                      <wp:simplePos x="0" y="0"/>
                      <wp:positionH relativeFrom="column">
                        <wp:posOffset>349250</wp:posOffset>
                      </wp:positionH>
                      <wp:positionV relativeFrom="paragraph">
                        <wp:posOffset>208915</wp:posOffset>
                      </wp:positionV>
                      <wp:extent cx="314325" cy="304800"/>
                      <wp:effectExtent l="12700" t="12700" r="15875" b="25400"/>
                      <wp:wrapNone/>
                      <wp:docPr id="1" name="Flowchart: Summing Junction 4"/>
                      <wp:cNvGraphicFramePr/>
                      <a:graphic xmlns:a="http://schemas.openxmlformats.org/drawingml/2006/main">
                        <a:graphicData uri="http://schemas.microsoft.com/office/word/2010/wordprocessingShape">
                          <wps:wsp>
                            <wps:cNvSpPr/>
                            <wps:spPr>
                              <a:xfrm>
                                <a:off x="0" y="0"/>
                                <a:ext cx="314325" cy="304800"/>
                              </a:xfrm>
                              <a:prstGeom prst="flowChartSummingJunction">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anchor>
                  </w:drawing>
                </mc:Choice>
                <mc:Fallback>
                  <w:pict>
                    <v:shape id="Flowchart: Summing Junction 4" o:spid="_x0000_s1026" o:spt="123" type="#_x0000_t123" style="position:absolute;left:0pt;margin-left:27.5pt;margin-top:16.45pt;height:24pt;width:24.75pt;z-index:251659264;mso-width-relative:page;mso-height-relative:page;" fillcolor="#00B050" filled="t" stroked="t" coordsize="21600,21600" o:gfxdata="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KEBQi1gAAAAgBAAAPAAAAAAAAAAEA&#10;IAAAACIAAABkcnMvZG93bnJldi54bWxQSwECFAAUAAAACACHTuJAOAaLiBECAABHBAAADgAAAAAA&#10;AAABACAAAAAlAQAAZHJzL2Uyb0RvYy54bWxQSwUGAAAAAAYABgBZAQAAqAUAAAAA&#10;">
                      <v:fill on="t" focussize="0,0"/>
                      <v:stroke weight="2pt" color="#385D8A [3204]" joinstyle="round"/>
                      <v:imagedata o:title=""/>
                      <o:lock v:ext="edit" aspectratio="f"/>
                    </v:shape>
                  </w:pict>
                </mc:Fallback>
              </mc:AlternateContent>
            </w:r>
          </w:p>
        </w:tc>
      </w:tr>
      <w:tr w14:paraId="3B3E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60" w:type="dxa"/>
            <w:tcBorders>
              <w:top w:val="nil"/>
              <w:left w:val="single" w:color="000000" w:sz="8" w:space="0"/>
              <w:bottom w:val="nil"/>
              <w:right w:val="nil"/>
            </w:tcBorders>
            <w:shd w:val="clear" w:color="auto" w:fill="auto"/>
            <w:noWrap/>
            <w:vAlign w:val="bottom"/>
          </w:tcPr>
          <w:p w14:paraId="0B20DCF6">
            <w:pPr>
              <w:jc w:val="right"/>
              <w:rPr>
                <w:rFonts w:hint="default" w:ascii="Calibri" w:hAnsi="Calibri" w:cs="Calibri"/>
                <w:b/>
                <w:bCs/>
                <w:i w:val="0"/>
                <w:iCs w:val="0"/>
                <w:color w:val="000000"/>
                <w:sz w:val="24"/>
                <w:szCs w:val="24"/>
                <w:u w:val="none"/>
              </w:rPr>
            </w:pPr>
          </w:p>
        </w:tc>
        <w:tc>
          <w:tcPr>
            <w:tcW w:w="1037" w:type="dxa"/>
            <w:tcBorders>
              <w:top w:val="nil"/>
              <w:left w:val="nil"/>
              <w:bottom w:val="nil"/>
              <w:right w:val="nil"/>
            </w:tcBorders>
            <w:shd w:val="clear" w:color="auto" w:fill="auto"/>
            <w:noWrap/>
            <w:vAlign w:val="bottom"/>
          </w:tcPr>
          <w:p w14:paraId="09A1CE36">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3.</w:t>
            </w:r>
          </w:p>
        </w:tc>
        <w:tc>
          <w:tcPr>
            <w:tcW w:w="540" w:type="dxa"/>
            <w:tcBorders>
              <w:top w:val="nil"/>
              <w:left w:val="nil"/>
              <w:bottom w:val="nil"/>
              <w:right w:val="single" w:color="000000" w:sz="8" w:space="0"/>
            </w:tcBorders>
            <w:shd w:val="clear" w:color="auto" w:fill="auto"/>
            <w:noWrap/>
            <w:vAlign w:val="bottom"/>
          </w:tcPr>
          <w:p w14:paraId="666A1215">
            <w:pPr>
              <w:jc w:val="right"/>
              <w:rPr>
                <w:rFonts w:hint="default" w:ascii="Calibri" w:hAnsi="Calibri" w:cs="Calibri"/>
                <w:b/>
                <w:bCs/>
                <w:i w:val="0"/>
                <w:iCs w:val="0"/>
                <w:color w:val="000000"/>
                <w:sz w:val="24"/>
                <w:szCs w:val="24"/>
                <w:u w:val="none"/>
              </w:rPr>
            </w:pPr>
          </w:p>
        </w:tc>
      </w:tr>
      <w:tr w14:paraId="54BB7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0" w:type="dxa"/>
            <w:tcBorders>
              <w:top w:val="nil"/>
              <w:left w:val="single" w:color="000000" w:sz="8" w:space="0"/>
              <w:bottom w:val="nil"/>
              <w:right w:val="nil"/>
            </w:tcBorders>
            <w:shd w:val="clear" w:color="auto" w:fill="auto"/>
            <w:noWrap/>
            <w:vAlign w:val="bottom"/>
          </w:tcPr>
          <w:p w14:paraId="14F03B3F">
            <w:pPr>
              <w:jc w:val="right"/>
              <w:rPr>
                <w:rFonts w:hint="default" w:ascii="Calibri" w:hAnsi="Calibri" w:cs="Calibri"/>
                <w:b/>
                <w:bCs/>
                <w:i w:val="0"/>
                <w:iCs w:val="0"/>
                <w:color w:val="000000"/>
                <w:sz w:val="24"/>
                <w:szCs w:val="24"/>
                <w:u w:val="none"/>
              </w:rPr>
            </w:pPr>
          </w:p>
        </w:tc>
        <w:tc>
          <w:tcPr>
            <w:tcW w:w="1037" w:type="dxa"/>
            <w:tcBorders>
              <w:top w:val="nil"/>
              <w:left w:val="nil"/>
              <w:bottom w:val="nil"/>
              <w:right w:val="nil"/>
            </w:tcBorders>
            <w:shd w:val="clear" w:color="auto" w:fill="auto"/>
            <w:noWrap/>
            <w:vAlign w:val="bottom"/>
          </w:tcPr>
          <w:p w14:paraId="7BAC9F6E">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24m2</w:t>
            </w:r>
          </w:p>
        </w:tc>
        <w:tc>
          <w:tcPr>
            <w:tcW w:w="540" w:type="dxa"/>
            <w:tcBorders>
              <w:top w:val="nil"/>
              <w:left w:val="nil"/>
              <w:bottom w:val="nil"/>
              <w:right w:val="single" w:color="000000" w:sz="8" w:space="0"/>
            </w:tcBorders>
            <w:shd w:val="clear" w:color="auto" w:fill="auto"/>
            <w:noWrap/>
            <w:vAlign w:val="bottom"/>
          </w:tcPr>
          <w:p w14:paraId="56628D20">
            <w:pPr>
              <w:jc w:val="right"/>
              <w:rPr>
                <w:rFonts w:hint="default" w:ascii="Calibri" w:hAnsi="Calibri" w:cs="Calibri"/>
                <w:b/>
                <w:bCs/>
                <w:i w:val="0"/>
                <w:iCs w:val="0"/>
                <w:color w:val="000000"/>
                <w:sz w:val="24"/>
                <w:szCs w:val="24"/>
                <w:u w:val="none"/>
              </w:rPr>
            </w:pPr>
          </w:p>
        </w:tc>
      </w:tr>
      <w:tr w14:paraId="42FF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60" w:type="dxa"/>
            <w:tcBorders>
              <w:top w:val="nil"/>
              <w:left w:val="single" w:color="000000" w:sz="8" w:space="0"/>
              <w:bottom w:val="nil"/>
              <w:right w:val="nil"/>
            </w:tcBorders>
            <w:shd w:val="clear" w:color="auto" w:fill="auto"/>
            <w:noWrap/>
            <w:vAlign w:val="bottom"/>
          </w:tcPr>
          <w:p w14:paraId="43FD7247">
            <w:pPr>
              <w:jc w:val="right"/>
              <w:rPr>
                <w:rFonts w:hint="default" w:ascii="Calibri" w:hAnsi="Calibri" w:cs="Calibri"/>
                <w:b/>
                <w:bCs/>
                <w:i w:val="0"/>
                <w:iCs w:val="0"/>
                <w:color w:val="000000"/>
                <w:sz w:val="24"/>
                <w:szCs w:val="24"/>
                <w:u w:val="none"/>
              </w:rPr>
            </w:pPr>
          </w:p>
        </w:tc>
        <w:tc>
          <w:tcPr>
            <w:tcW w:w="1037" w:type="dxa"/>
            <w:tcBorders>
              <w:top w:val="nil"/>
              <w:left w:val="nil"/>
              <w:bottom w:val="nil"/>
              <w:right w:val="nil"/>
            </w:tcBorders>
            <w:shd w:val="clear" w:color="auto" w:fill="auto"/>
            <w:noWrap/>
            <w:vAlign w:val="bottom"/>
          </w:tcPr>
          <w:p w14:paraId="4E57FF59">
            <w:pPr>
              <w:jc w:val="right"/>
              <w:rPr>
                <w:rFonts w:hint="default" w:ascii="Calibri" w:hAnsi="Calibri" w:cs="Calibri"/>
                <w:b/>
                <w:bCs/>
                <w:i w:val="0"/>
                <w:iCs w:val="0"/>
                <w:color w:val="000000"/>
                <w:sz w:val="24"/>
                <w:szCs w:val="24"/>
                <w:u w:val="none"/>
              </w:rPr>
            </w:pPr>
          </w:p>
        </w:tc>
        <w:tc>
          <w:tcPr>
            <w:tcW w:w="540" w:type="dxa"/>
            <w:tcBorders>
              <w:top w:val="nil"/>
              <w:left w:val="nil"/>
              <w:bottom w:val="nil"/>
              <w:right w:val="single" w:color="000000" w:sz="8" w:space="0"/>
            </w:tcBorders>
            <w:shd w:val="clear" w:color="auto" w:fill="auto"/>
            <w:noWrap/>
            <w:vAlign w:val="bottom"/>
          </w:tcPr>
          <w:p w14:paraId="411B7295">
            <w:pPr>
              <w:jc w:val="right"/>
              <w:rPr>
                <w:rFonts w:hint="default" w:ascii="Calibri" w:hAnsi="Calibri" w:cs="Calibri"/>
                <w:b/>
                <w:bCs/>
                <w:i w:val="0"/>
                <w:iCs w:val="0"/>
                <w:color w:val="000000"/>
                <w:sz w:val="24"/>
                <w:szCs w:val="24"/>
                <w:u w:val="none"/>
              </w:rPr>
            </w:pPr>
          </w:p>
        </w:tc>
      </w:tr>
      <w:tr w14:paraId="5A31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60" w:type="dxa"/>
            <w:tcBorders>
              <w:top w:val="nil"/>
              <w:left w:val="single" w:color="000000" w:sz="8" w:space="0"/>
              <w:bottom w:val="single" w:color="000000" w:sz="8" w:space="0"/>
              <w:right w:val="nil"/>
            </w:tcBorders>
            <w:shd w:val="clear" w:color="auto" w:fill="auto"/>
            <w:noWrap/>
            <w:vAlign w:val="bottom"/>
          </w:tcPr>
          <w:p w14:paraId="5AC8C0CE">
            <w:pPr>
              <w:rPr>
                <w:rFonts w:hint="default" w:ascii="Calibri" w:hAnsi="Calibri" w:cs="Calibri"/>
                <w:b/>
                <w:bCs/>
                <w:i w:val="0"/>
                <w:iCs w:val="0"/>
                <w:color w:val="000000"/>
                <w:sz w:val="24"/>
                <w:szCs w:val="24"/>
                <w:u w:val="none"/>
              </w:rPr>
            </w:pPr>
          </w:p>
        </w:tc>
        <w:tc>
          <w:tcPr>
            <w:tcW w:w="1037" w:type="dxa"/>
            <w:tcBorders>
              <w:top w:val="nil"/>
              <w:left w:val="nil"/>
              <w:bottom w:val="single" w:color="000000" w:sz="8" w:space="0"/>
              <w:right w:val="nil"/>
            </w:tcBorders>
            <w:shd w:val="clear" w:color="auto" w:fill="auto"/>
            <w:noWrap/>
            <w:vAlign w:val="bottom"/>
          </w:tcPr>
          <w:p w14:paraId="55BDDE9A">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5,60 m</w:t>
            </w:r>
            <w:r>
              <w:rPr>
                <w:rFonts w:ascii="Aharoni" w:hAnsi="Aharoni" w:eastAsia="Aharoni" w:cs="Aharoni"/>
                <w:b/>
                <w:bCs/>
                <w:i w:val="0"/>
                <w:iCs w:val="0"/>
                <w:color w:val="000000"/>
                <w:kern w:val="0"/>
                <w:sz w:val="24"/>
                <w:szCs w:val="24"/>
                <w:u w:val="none"/>
                <w:lang w:val="en-US" w:eastAsia="zh-CN" w:bidi="ar"/>
              </w:rPr>
              <w:t>'</w:t>
            </w:r>
            <w:r>
              <w:rPr>
                <w:rFonts w:hint="default" w:ascii="Calibri" w:hAnsi="Calibri" w:eastAsia="SimSun" w:cs="Calibri"/>
                <w:b/>
                <w:bCs/>
                <w:i w:val="0"/>
                <w:iCs w:val="0"/>
                <w:color w:val="000000"/>
                <w:kern w:val="0"/>
                <w:sz w:val="24"/>
                <w:szCs w:val="24"/>
                <w:u w:val="none"/>
                <w:lang w:val="en-US" w:eastAsia="zh-CN" w:bidi="ar"/>
              </w:rPr>
              <w:t xml:space="preserve"> </w:t>
            </w:r>
          </w:p>
        </w:tc>
        <w:tc>
          <w:tcPr>
            <w:tcW w:w="540" w:type="dxa"/>
            <w:tcBorders>
              <w:top w:val="nil"/>
              <w:left w:val="nil"/>
              <w:bottom w:val="single" w:color="000000" w:sz="8" w:space="0"/>
              <w:right w:val="single" w:color="000000" w:sz="8" w:space="0"/>
            </w:tcBorders>
            <w:shd w:val="clear" w:color="auto" w:fill="auto"/>
            <w:noWrap/>
            <w:vAlign w:val="bottom"/>
          </w:tcPr>
          <w:p w14:paraId="38BC90F2">
            <w:pPr>
              <w:rPr>
                <w:rFonts w:hint="default" w:ascii="Calibri" w:hAnsi="Calibri" w:cs="Calibri"/>
                <w:b/>
                <w:bCs/>
                <w:i w:val="0"/>
                <w:iCs w:val="0"/>
                <w:color w:val="000000"/>
                <w:sz w:val="24"/>
                <w:szCs w:val="24"/>
                <w:u w:val="none"/>
              </w:rPr>
            </w:pPr>
          </w:p>
        </w:tc>
      </w:tr>
    </w:tbl>
    <w:tbl>
      <w:tblPr>
        <w:tblStyle w:val="3"/>
        <w:tblpPr w:leftFromText="180" w:rightFromText="180" w:vertAnchor="text" w:horzAnchor="page" w:tblpX="1466" w:tblpY="289"/>
        <w:tblOverlap w:val="never"/>
        <w:tblW w:w="19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930"/>
      </w:tblGrid>
      <w:tr w14:paraId="6E66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37" w:type="dxa"/>
            <w:tcBorders>
              <w:top w:val="single" w:color="auto" w:sz="4" w:space="0"/>
              <w:left w:val="single" w:color="auto" w:sz="4" w:space="0"/>
              <w:bottom w:val="nil"/>
              <w:right w:val="nil"/>
            </w:tcBorders>
            <w:shd w:val="clear" w:color="auto" w:fill="auto"/>
            <w:noWrap/>
            <w:vAlign w:val="bottom"/>
          </w:tcPr>
          <w:p w14:paraId="5824340E">
            <w:pPr>
              <w:rPr>
                <w:rFonts w:hint="default" w:ascii="Calibri" w:hAnsi="Calibri" w:cs="Calibri"/>
                <w:b/>
                <w:bCs/>
                <w:i w:val="0"/>
                <w:iCs w:val="0"/>
                <w:color w:val="000000"/>
                <w:sz w:val="24"/>
                <w:szCs w:val="24"/>
                <w:u w:val="none"/>
              </w:rPr>
            </w:pPr>
          </w:p>
        </w:tc>
        <w:tc>
          <w:tcPr>
            <w:tcW w:w="930" w:type="dxa"/>
            <w:tcBorders>
              <w:top w:val="single" w:color="auto" w:sz="4" w:space="0"/>
              <w:left w:val="nil"/>
              <w:bottom w:val="nil"/>
              <w:right w:val="single" w:color="auto" w:sz="4" w:space="0"/>
            </w:tcBorders>
            <w:shd w:val="clear" w:color="auto" w:fill="auto"/>
            <w:noWrap/>
            <w:vAlign w:val="bottom"/>
          </w:tcPr>
          <w:p w14:paraId="60103AEC">
            <w:pPr>
              <w:rPr>
                <w:rFonts w:hint="default" w:ascii="Calibri" w:hAnsi="Calibri" w:cs="Calibri"/>
                <w:b/>
                <w:bCs/>
                <w:i w:val="0"/>
                <w:iCs w:val="0"/>
                <w:color w:val="000000"/>
                <w:sz w:val="24"/>
                <w:szCs w:val="24"/>
                <w:u w:val="none"/>
              </w:rPr>
            </w:pPr>
          </w:p>
        </w:tc>
      </w:tr>
      <w:tr w14:paraId="6A806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37" w:type="dxa"/>
            <w:tcBorders>
              <w:top w:val="nil"/>
              <w:left w:val="single" w:color="auto" w:sz="4" w:space="0"/>
              <w:bottom w:val="nil"/>
              <w:right w:val="nil"/>
            </w:tcBorders>
            <w:shd w:val="clear" w:color="auto" w:fill="auto"/>
            <w:noWrap/>
            <w:vAlign w:val="bottom"/>
          </w:tcPr>
          <w:p w14:paraId="5C2CFEB3">
            <w:pPr>
              <w:rPr>
                <w:rFonts w:hint="default" w:ascii="Calibri" w:hAnsi="Calibri" w:cs="Calibri"/>
                <w:b/>
                <w:bCs/>
                <w:i w:val="0"/>
                <w:iCs w:val="0"/>
                <w:color w:val="000000"/>
                <w:sz w:val="24"/>
                <w:szCs w:val="24"/>
                <w:u w:val="none"/>
                <w:lang w:val="hr-HR"/>
              </w:rPr>
            </w:pPr>
            <w:r>
              <w:rPr>
                <w:rFonts w:hint="default" w:ascii="Calibri" w:hAnsi="Calibri" w:cs="Calibri"/>
                <w:b/>
                <w:bCs/>
                <w:i w:val="0"/>
                <w:iCs w:val="0"/>
                <w:color w:val="000000"/>
                <w:sz w:val="24"/>
                <w:szCs w:val="24"/>
                <w:u w:val="none"/>
                <w:lang w:val="hr-HR"/>
              </w:rPr>
              <w:t xml:space="preserve">         </w:t>
            </w:r>
          </w:p>
        </w:tc>
        <w:tc>
          <w:tcPr>
            <w:tcW w:w="930" w:type="dxa"/>
            <w:tcBorders>
              <w:top w:val="nil"/>
              <w:left w:val="nil"/>
              <w:bottom w:val="nil"/>
              <w:right w:val="single" w:color="auto" w:sz="4" w:space="0"/>
            </w:tcBorders>
            <w:shd w:val="clear" w:color="auto" w:fill="auto"/>
            <w:noWrap/>
            <w:vAlign w:val="bottom"/>
          </w:tcPr>
          <w:p w14:paraId="5398119E">
            <w:pPr>
              <w:rPr>
                <w:rFonts w:hint="default" w:ascii="Calibri" w:hAnsi="Calibri" w:cs="Calibri"/>
                <w:b/>
                <w:bCs/>
                <w:i w:val="0"/>
                <w:iCs w:val="0"/>
                <w:color w:val="000000"/>
                <w:sz w:val="24"/>
                <w:szCs w:val="24"/>
                <w:u w:val="none"/>
              </w:rPr>
            </w:pPr>
          </w:p>
        </w:tc>
      </w:tr>
      <w:tr w14:paraId="4CBB1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037" w:type="dxa"/>
            <w:tcBorders>
              <w:top w:val="nil"/>
              <w:left w:val="single" w:color="auto" w:sz="4" w:space="0"/>
              <w:bottom w:val="nil"/>
              <w:right w:val="nil"/>
            </w:tcBorders>
            <w:shd w:val="clear" w:color="auto" w:fill="auto"/>
            <w:noWrap/>
            <w:vAlign w:val="bottom"/>
          </w:tcPr>
          <w:p w14:paraId="06A101E6">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4.</w:t>
            </w:r>
          </w:p>
        </w:tc>
        <w:tc>
          <w:tcPr>
            <w:tcW w:w="930" w:type="dxa"/>
            <w:tcBorders>
              <w:top w:val="nil"/>
              <w:left w:val="nil"/>
              <w:bottom w:val="nil"/>
              <w:right w:val="single" w:color="auto" w:sz="4" w:space="0"/>
            </w:tcBorders>
            <w:shd w:val="clear" w:color="auto" w:fill="auto"/>
            <w:noWrap/>
            <w:vAlign w:val="bottom"/>
          </w:tcPr>
          <w:p w14:paraId="66FABF93">
            <w:pPr>
              <w:jc w:val="right"/>
              <w:rPr>
                <w:rFonts w:hint="default" w:ascii="Calibri" w:hAnsi="Calibri" w:cs="Calibri"/>
                <w:b/>
                <w:bCs/>
                <w:i w:val="0"/>
                <w:iCs w:val="0"/>
                <w:color w:val="000000"/>
                <w:sz w:val="24"/>
                <w:szCs w:val="24"/>
                <w:u w:val="none"/>
              </w:rPr>
            </w:pP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68580</wp:posOffset>
                      </wp:positionV>
                      <wp:extent cx="314325" cy="304800"/>
                      <wp:effectExtent l="12700" t="12700" r="15875" b="25400"/>
                      <wp:wrapNone/>
                      <wp:docPr id="5" name="Flowchart: Summing Junction 4"/>
                      <wp:cNvGraphicFramePr/>
                      <a:graphic xmlns:a="http://schemas.openxmlformats.org/drawingml/2006/main">
                        <a:graphicData uri="http://schemas.microsoft.com/office/word/2010/wordprocessingShape">
                          <wps:wsp>
                            <wps:cNvSpPr/>
                            <wps:spPr>
                              <a:xfrm>
                                <a:off x="0" y="0"/>
                                <a:ext cx="314325" cy="304800"/>
                              </a:xfrm>
                              <a:prstGeom prst="flowChartSummingJunction">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anchor>
                  </w:drawing>
                </mc:Choice>
                <mc:Fallback>
                  <w:pict>
                    <v:shape id="Flowchart: Summing Junction 4" o:spid="_x0000_s1026" o:spt="123" type="#_x0000_t123" style="position:absolute;left:0pt;margin-left:49.3pt;margin-top:5.4pt;height:24pt;width:24.75pt;z-index:251660288;mso-width-relative:page;mso-height-relative:page;" fillcolor="#00B050" filled="t" stroked="t" coordsize="21600,21600" o:gfxdata="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cnmL7VAAAACAEAAA8AAAAAAAAAAQAg&#10;AAAAIgAAAGRycy9kb3ducmV2LnhtbFBLAQIUABQAAAAIAIdO4kCDuzB5EQIAAEcEAAAOAAAAAAAA&#10;AAEAIAAAACQBAABkcnMvZTJvRG9jLnhtbFBLBQYAAAAABgAGAFkBAACnBQAAAAA=&#10;">
                      <v:fill on="t" focussize="0,0"/>
                      <v:stroke weight="2pt" color="#385D8A [3204]" joinstyle="round"/>
                      <v:imagedata o:title=""/>
                      <o:lock v:ext="edit" aspectratio="f"/>
                    </v:shape>
                  </w:pict>
                </mc:Fallback>
              </mc:AlternateContent>
            </w:r>
          </w:p>
        </w:tc>
      </w:tr>
      <w:tr w14:paraId="0892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37" w:type="dxa"/>
            <w:tcBorders>
              <w:top w:val="nil"/>
              <w:left w:val="single" w:color="auto" w:sz="4" w:space="0"/>
              <w:bottom w:val="nil"/>
              <w:right w:val="nil"/>
            </w:tcBorders>
            <w:shd w:val="clear" w:color="auto" w:fill="auto"/>
            <w:noWrap/>
            <w:vAlign w:val="bottom"/>
          </w:tcPr>
          <w:p w14:paraId="6238D048">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16m2</w:t>
            </w:r>
          </w:p>
        </w:tc>
        <w:tc>
          <w:tcPr>
            <w:tcW w:w="930" w:type="dxa"/>
            <w:tcBorders>
              <w:top w:val="nil"/>
              <w:left w:val="nil"/>
              <w:bottom w:val="nil"/>
              <w:right w:val="single" w:color="auto" w:sz="4" w:space="0"/>
            </w:tcBorders>
            <w:shd w:val="clear" w:color="auto" w:fill="auto"/>
            <w:noWrap/>
            <w:vAlign w:val="bottom"/>
          </w:tcPr>
          <w:p w14:paraId="54D317E8">
            <w:pPr>
              <w:jc w:val="right"/>
              <w:rPr>
                <w:rFonts w:hint="default" w:ascii="Calibri" w:hAnsi="Calibri" w:cs="Calibri"/>
                <w:b/>
                <w:bCs/>
                <w:i w:val="0"/>
                <w:iCs w:val="0"/>
                <w:color w:val="000000"/>
                <w:sz w:val="24"/>
                <w:szCs w:val="24"/>
                <w:u w:val="none"/>
              </w:rPr>
            </w:pPr>
          </w:p>
        </w:tc>
      </w:tr>
      <w:tr w14:paraId="6A2E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37" w:type="dxa"/>
            <w:tcBorders>
              <w:top w:val="nil"/>
              <w:left w:val="single" w:color="auto" w:sz="4" w:space="0"/>
              <w:bottom w:val="nil"/>
              <w:right w:val="nil"/>
            </w:tcBorders>
            <w:shd w:val="clear" w:color="auto" w:fill="auto"/>
            <w:noWrap/>
            <w:vAlign w:val="bottom"/>
          </w:tcPr>
          <w:p w14:paraId="1484E3B7">
            <w:pPr>
              <w:jc w:val="right"/>
              <w:rPr>
                <w:rFonts w:hint="default" w:ascii="Calibri" w:hAnsi="Calibri" w:cs="Calibri"/>
                <w:b/>
                <w:bCs/>
                <w:i w:val="0"/>
                <w:iCs w:val="0"/>
                <w:color w:val="000000"/>
                <w:sz w:val="24"/>
                <w:szCs w:val="24"/>
                <w:u w:val="none"/>
              </w:rPr>
            </w:pPr>
          </w:p>
        </w:tc>
        <w:tc>
          <w:tcPr>
            <w:tcW w:w="930" w:type="dxa"/>
            <w:tcBorders>
              <w:top w:val="nil"/>
              <w:left w:val="nil"/>
              <w:bottom w:val="nil"/>
              <w:right w:val="single" w:color="auto" w:sz="4" w:space="0"/>
            </w:tcBorders>
            <w:shd w:val="clear" w:color="auto" w:fill="auto"/>
            <w:noWrap/>
            <w:vAlign w:val="bottom"/>
          </w:tcPr>
          <w:p w14:paraId="65FB4EF6">
            <w:pPr>
              <w:jc w:val="right"/>
              <w:rPr>
                <w:rFonts w:hint="default" w:ascii="Calibri" w:hAnsi="Calibri" w:cs="Calibri"/>
                <w:b/>
                <w:bCs/>
                <w:i w:val="0"/>
                <w:iCs w:val="0"/>
                <w:color w:val="000000"/>
                <w:sz w:val="24"/>
                <w:szCs w:val="24"/>
                <w:u w:val="none"/>
              </w:rPr>
            </w:pPr>
          </w:p>
        </w:tc>
      </w:tr>
      <w:tr w14:paraId="37702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tcBorders>
              <w:top w:val="nil"/>
              <w:left w:val="single" w:color="auto" w:sz="4" w:space="0"/>
              <w:bottom w:val="single" w:color="auto" w:sz="4" w:space="0"/>
              <w:right w:val="nil"/>
            </w:tcBorders>
            <w:shd w:val="clear" w:color="auto" w:fill="auto"/>
            <w:noWrap/>
            <w:vAlign w:val="bottom"/>
          </w:tcPr>
          <w:p w14:paraId="4D09EA02">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3,30 m</w:t>
            </w:r>
            <w:r>
              <w:rPr>
                <w:rStyle w:val="20"/>
                <w:b/>
                <w:bCs/>
                <w:sz w:val="24"/>
                <w:szCs w:val="24"/>
                <w:lang w:val="en-US" w:eastAsia="zh-CN" w:bidi="ar"/>
              </w:rPr>
              <w:t>'</w:t>
            </w:r>
          </w:p>
        </w:tc>
        <w:tc>
          <w:tcPr>
            <w:tcW w:w="930" w:type="dxa"/>
            <w:tcBorders>
              <w:top w:val="nil"/>
              <w:left w:val="nil"/>
              <w:bottom w:val="single" w:color="auto" w:sz="4" w:space="0"/>
              <w:right w:val="single" w:color="auto" w:sz="4" w:space="0"/>
            </w:tcBorders>
            <w:shd w:val="clear" w:color="auto" w:fill="auto"/>
            <w:noWrap/>
            <w:vAlign w:val="bottom"/>
          </w:tcPr>
          <w:p w14:paraId="0C271882">
            <w:pPr>
              <w:rPr>
                <w:rFonts w:hint="default" w:ascii="Calibri" w:hAnsi="Calibri" w:cs="Calibri"/>
                <w:b/>
                <w:bCs/>
                <w:i w:val="0"/>
                <w:iCs w:val="0"/>
                <w:color w:val="000000"/>
                <w:sz w:val="24"/>
                <w:szCs w:val="24"/>
                <w:u w:val="none"/>
              </w:rPr>
            </w:pPr>
          </w:p>
        </w:tc>
      </w:tr>
    </w:tbl>
    <w:p w14:paraId="7E433286">
      <w:pPr>
        <w:rPr>
          <w:rFonts w:hint="default"/>
          <w:lang w:val="hr-HR"/>
        </w:rPr>
      </w:pPr>
      <w:r>
        <w:rPr>
          <w:rFonts w:hint="default"/>
          <w:lang w:val="hr-HR"/>
        </w:rPr>
        <w:t xml:space="preserve">                                                                                                                                                                                                   </w:t>
      </w:r>
    </w:p>
    <w:tbl>
      <w:tblPr>
        <w:tblStyle w:val="3"/>
        <w:tblpPr w:leftFromText="180" w:rightFromText="180" w:vertAnchor="text" w:horzAnchor="page" w:tblpX="9432" w:tblpY="201"/>
        <w:tblOverlap w:val="never"/>
        <w:tblW w:w="47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1441"/>
        <w:gridCol w:w="720"/>
        <w:gridCol w:w="960"/>
        <w:gridCol w:w="750"/>
      </w:tblGrid>
      <w:tr w14:paraId="63EDB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00" w:type="dxa"/>
            <w:tcBorders>
              <w:top w:val="single" w:color="000000" w:sz="8" w:space="0"/>
              <w:left w:val="single" w:color="000000" w:sz="8" w:space="0"/>
              <w:bottom w:val="nil"/>
              <w:right w:val="nil"/>
            </w:tcBorders>
            <w:shd w:val="clear" w:color="auto" w:fill="auto"/>
            <w:noWrap/>
            <w:vAlign w:val="bottom"/>
          </w:tcPr>
          <w:p w14:paraId="6044D80C">
            <w:pPr>
              <w:rPr>
                <w:rFonts w:hint="eastAsia" w:ascii="Calibri" w:hAnsi="Calibri" w:cs="Calibri"/>
                <w:b/>
                <w:bCs/>
                <w:i w:val="0"/>
                <w:iCs w:val="0"/>
                <w:color w:val="000000"/>
                <w:sz w:val="24"/>
                <w:szCs w:val="24"/>
                <w:u w:val="none"/>
              </w:rPr>
            </w:pPr>
          </w:p>
        </w:tc>
        <w:tc>
          <w:tcPr>
            <w:tcW w:w="1441" w:type="dxa"/>
            <w:tcBorders>
              <w:top w:val="single" w:color="000000" w:sz="8" w:space="0"/>
              <w:left w:val="nil"/>
              <w:bottom w:val="nil"/>
              <w:right w:val="single" w:color="000000" w:sz="8" w:space="0"/>
            </w:tcBorders>
            <w:shd w:val="clear" w:color="auto" w:fill="auto"/>
            <w:noWrap/>
            <w:vAlign w:val="bottom"/>
          </w:tcPr>
          <w:p w14:paraId="0E1E6E8B">
            <w:pPr>
              <w:rPr>
                <w:rFonts w:hint="default" w:ascii="Calibri" w:hAnsi="Calibri" w:cs="Calibri"/>
                <w:b/>
                <w:bCs/>
                <w:i w:val="0"/>
                <w:iCs w:val="0"/>
                <w:color w:val="000000"/>
                <w:sz w:val="24"/>
                <w:szCs w:val="24"/>
                <w:u w:val="none"/>
              </w:rPr>
            </w:pPr>
          </w:p>
        </w:tc>
        <w:tc>
          <w:tcPr>
            <w:tcW w:w="720" w:type="dxa"/>
            <w:tcBorders>
              <w:top w:val="nil"/>
              <w:left w:val="nil"/>
              <w:bottom w:val="nil"/>
              <w:right w:val="nil"/>
            </w:tcBorders>
            <w:shd w:val="clear" w:color="auto" w:fill="auto"/>
            <w:noWrap/>
            <w:vAlign w:val="bottom"/>
          </w:tcPr>
          <w:p w14:paraId="6F5A95FB">
            <w:pPr>
              <w:rPr>
                <w:rFonts w:hint="default" w:ascii="Calibri" w:hAnsi="Calibri" w:cs="Calibri"/>
                <w:b/>
                <w:bCs/>
                <w:i w:val="0"/>
                <w:iCs w:val="0"/>
                <w:color w:val="000000"/>
                <w:sz w:val="24"/>
                <w:szCs w:val="24"/>
                <w:u w:val="none"/>
              </w:rPr>
            </w:pPr>
          </w:p>
        </w:tc>
        <w:tc>
          <w:tcPr>
            <w:tcW w:w="960" w:type="dxa"/>
            <w:tcBorders>
              <w:top w:val="nil"/>
              <w:left w:val="nil"/>
              <w:bottom w:val="nil"/>
              <w:right w:val="nil"/>
            </w:tcBorders>
            <w:shd w:val="clear" w:color="auto" w:fill="auto"/>
            <w:noWrap/>
            <w:vAlign w:val="bottom"/>
          </w:tcPr>
          <w:p w14:paraId="767C20D7">
            <w:pPr>
              <w:rPr>
                <w:rFonts w:hint="default" w:ascii="Calibri" w:hAnsi="Calibri" w:cs="Calibri"/>
                <w:b/>
                <w:bCs/>
                <w:i w:val="0"/>
                <w:iCs w:val="0"/>
                <w:color w:val="000000"/>
                <w:sz w:val="24"/>
                <w:szCs w:val="24"/>
                <w:u w:val="none"/>
              </w:rPr>
            </w:pPr>
          </w:p>
        </w:tc>
        <w:tc>
          <w:tcPr>
            <w:tcW w:w="750" w:type="dxa"/>
            <w:tcBorders>
              <w:top w:val="nil"/>
              <w:left w:val="nil"/>
              <w:bottom w:val="nil"/>
              <w:right w:val="nil"/>
            </w:tcBorders>
            <w:shd w:val="clear" w:color="auto" w:fill="auto"/>
            <w:noWrap/>
            <w:vAlign w:val="bottom"/>
          </w:tcPr>
          <w:p w14:paraId="3D69A47B">
            <w:pPr>
              <w:rPr>
                <w:rFonts w:hint="default" w:ascii="Calibri" w:hAnsi="Calibri" w:cs="Calibri"/>
                <w:b/>
                <w:bCs/>
                <w:i w:val="0"/>
                <w:iCs w:val="0"/>
                <w:color w:val="000000"/>
                <w:sz w:val="24"/>
                <w:szCs w:val="24"/>
                <w:u w:val="none"/>
              </w:rPr>
            </w:pPr>
          </w:p>
        </w:tc>
      </w:tr>
      <w:tr w14:paraId="5C7D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900" w:type="dxa"/>
            <w:tcBorders>
              <w:top w:val="nil"/>
              <w:left w:val="single" w:color="000000" w:sz="8" w:space="0"/>
              <w:bottom w:val="nil"/>
              <w:right w:val="nil"/>
            </w:tcBorders>
            <w:shd w:val="clear" w:color="auto" w:fill="auto"/>
            <w:noWrap/>
            <w:vAlign w:val="bottom"/>
          </w:tcPr>
          <w:p w14:paraId="47369009">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2.</w:t>
            </w:r>
          </w:p>
        </w:tc>
        <w:tc>
          <w:tcPr>
            <w:tcW w:w="1441" w:type="dxa"/>
            <w:tcBorders>
              <w:top w:val="nil"/>
              <w:left w:val="nil"/>
              <w:bottom w:val="nil"/>
              <w:right w:val="single" w:color="000000" w:sz="8" w:space="0"/>
            </w:tcBorders>
            <w:shd w:val="clear" w:color="auto" w:fill="auto"/>
            <w:noWrap/>
            <w:vAlign w:val="bottom"/>
          </w:tcPr>
          <w:p w14:paraId="79951FB2">
            <w:pPr>
              <w:jc w:val="right"/>
              <w:rPr>
                <w:rFonts w:hint="default" w:ascii="Calibri" w:hAnsi="Calibri" w:cs="Calibri"/>
                <w:b/>
                <w:bCs/>
                <w:i w:val="0"/>
                <w:iCs w:val="0"/>
                <w:color w:val="000000"/>
                <w:sz w:val="24"/>
                <w:szCs w:val="24"/>
                <w:u w:val="none"/>
              </w:rPr>
            </w:pPr>
          </w:p>
        </w:tc>
        <w:tc>
          <w:tcPr>
            <w:tcW w:w="720" w:type="dxa"/>
            <w:tcBorders>
              <w:top w:val="nil"/>
              <w:left w:val="nil"/>
              <w:bottom w:val="nil"/>
              <w:right w:val="nil"/>
            </w:tcBorders>
            <w:shd w:val="clear" w:color="auto" w:fill="auto"/>
            <w:noWrap/>
            <w:vAlign w:val="bottom"/>
          </w:tcPr>
          <w:p w14:paraId="040BFC29">
            <w:pPr>
              <w:jc w:val="right"/>
              <w:rPr>
                <w:rFonts w:hint="default" w:ascii="Calibri" w:hAnsi="Calibri" w:cs="Calibri"/>
                <w:b/>
                <w:bCs/>
                <w:i w:val="0"/>
                <w:iCs w:val="0"/>
                <w:color w:val="000000"/>
                <w:sz w:val="24"/>
                <w:szCs w:val="24"/>
                <w:u w:val="none"/>
              </w:rPr>
            </w:pPr>
          </w:p>
        </w:tc>
        <w:tc>
          <w:tcPr>
            <w:tcW w:w="960" w:type="dxa"/>
            <w:tcBorders>
              <w:top w:val="single" w:color="000000" w:sz="8" w:space="0"/>
              <w:left w:val="single" w:color="000000" w:sz="8" w:space="0"/>
              <w:bottom w:val="nil"/>
              <w:right w:val="nil"/>
            </w:tcBorders>
            <w:shd w:val="clear" w:color="auto" w:fill="auto"/>
            <w:noWrap/>
            <w:vAlign w:val="bottom"/>
          </w:tcPr>
          <w:p w14:paraId="7327E439">
            <w:pPr>
              <w:jc w:val="right"/>
              <w:rPr>
                <w:rFonts w:hint="default" w:ascii="Calibri" w:hAnsi="Calibri" w:cs="Calibri"/>
                <w:b/>
                <w:bCs/>
                <w:i w:val="0"/>
                <w:iCs w:val="0"/>
                <w:color w:val="000000"/>
                <w:sz w:val="24"/>
                <w:szCs w:val="24"/>
                <w:u w:val="none"/>
              </w:rPr>
            </w:pPr>
          </w:p>
        </w:tc>
        <w:tc>
          <w:tcPr>
            <w:tcW w:w="750" w:type="dxa"/>
            <w:tcBorders>
              <w:top w:val="single" w:color="000000" w:sz="8" w:space="0"/>
              <w:left w:val="nil"/>
              <w:bottom w:val="nil"/>
              <w:right w:val="single" w:color="000000" w:sz="8" w:space="0"/>
            </w:tcBorders>
            <w:shd w:val="clear" w:color="auto" w:fill="auto"/>
            <w:noWrap/>
            <w:vAlign w:val="bottom"/>
          </w:tcPr>
          <w:p w14:paraId="66BE93C3">
            <w:pPr>
              <w:rPr>
                <w:rFonts w:hint="default" w:ascii="Calibri" w:hAnsi="Calibri" w:cs="Calibri"/>
                <w:b/>
                <w:bCs/>
                <w:i w:val="0"/>
                <w:iCs w:val="0"/>
                <w:color w:val="000000"/>
                <w:sz w:val="24"/>
                <w:szCs w:val="24"/>
                <w:u w:val="none"/>
              </w:rPr>
            </w:pPr>
          </w:p>
        </w:tc>
      </w:tr>
      <w:tr w14:paraId="51DD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00" w:type="dxa"/>
            <w:tcBorders>
              <w:top w:val="nil"/>
              <w:left w:val="single" w:color="000000" w:sz="8" w:space="0"/>
              <w:bottom w:val="nil"/>
              <w:right w:val="nil"/>
            </w:tcBorders>
            <w:shd w:val="clear" w:color="auto" w:fill="auto"/>
            <w:noWrap/>
            <w:vAlign w:val="bottom"/>
          </w:tcPr>
          <w:p w14:paraId="768B952A">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16m2</w:t>
            </w:r>
          </w:p>
        </w:tc>
        <w:tc>
          <w:tcPr>
            <w:tcW w:w="1441" w:type="dxa"/>
            <w:tcBorders>
              <w:top w:val="nil"/>
              <w:left w:val="nil"/>
              <w:bottom w:val="nil"/>
              <w:right w:val="single" w:color="000000" w:sz="8" w:space="0"/>
            </w:tcBorders>
            <w:shd w:val="clear" w:color="auto" w:fill="auto"/>
            <w:noWrap/>
            <w:vAlign w:val="bottom"/>
          </w:tcPr>
          <w:p w14:paraId="3E443203">
            <w:pPr>
              <w:jc w:val="right"/>
              <w:rPr>
                <w:rFonts w:hint="default" w:ascii="Calibri" w:hAnsi="Calibri" w:cs="Calibri"/>
                <w:b/>
                <w:bCs/>
                <w:i w:val="0"/>
                <w:iCs w:val="0"/>
                <w:color w:val="000000"/>
                <w:sz w:val="24"/>
                <w:szCs w:val="24"/>
                <w:u w:val="none"/>
              </w:rPr>
            </w:pPr>
          </w:p>
        </w:tc>
        <w:tc>
          <w:tcPr>
            <w:tcW w:w="720" w:type="dxa"/>
            <w:tcBorders>
              <w:top w:val="nil"/>
              <w:left w:val="nil"/>
              <w:bottom w:val="nil"/>
              <w:right w:val="nil"/>
            </w:tcBorders>
            <w:shd w:val="clear" w:color="auto" w:fill="auto"/>
            <w:noWrap/>
            <w:vAlign w:val="bottom"/>
          </w:tcPr>
          <w:p w14:paraId="3A532619">
            <w:pPr>
              <w:jc w:val="right"/>
              <w:rPr>
                <w:rFonts w:hint="default" w:ascii="Calibri" w:hAnsi="Calibri" w:cs="Calibri"/>
                <w:b/>
                <w:bCs/>
                <w:i w:val="0"/>
                <w:iCs w:val="0"/>
                <w:color w:val="000000"/>
                <w:sz w:val="24"/>
                <w:szCs w:val="24"/>
                <w:u w:val="none"/>
              </w:rPr>
            </w:pPr>
          </w:p>
        </w:tc>
        <w:tc>
          <w:tcPr>
            <w:tcW w:w="960" w:type="dxa"/>
            <w:tcBorders>
              <w:top w:val="nil"/>
              <w:left w:val="single" w:color="000000" w:sz="8" w:space="0"/>
              <w:bottom w:val="nil"/>
              <w:right w:val="nil"/>
            </w:tcBorders>
            <w:shd w:val="clear" w:color="auto" w:fill="auto"/>
            <w:noWrap/>
            <w:vAlign w:val="bottom"/>
          </w:tcPr>
          <w:p w14:paraId="67E0662A">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1.</w:t>
            </w:r>
          </w:p>
        </w:tc>
        <w:tc>
          <w:tcPr>
            <w:tcW w:w="750" w:type="dxa"/>
            <w:tcBorders>
              <w:top w:val="nil"/>
              <w:left w:val="nil"/>
              <w:bottom w:val="nil"/>
              <w:right w:val="single" w:color="000000" w:sz="8" w:space="0"/>
            </w:tcBorders>
            <w:shd w:val="clear" w:color="auto" w:fill="auto"/>
            <w:noWrap/>
            <w:vAlign w:val="bottom"/>
          </w:tcPr>
          <w:p w14:paraId="697E2BC9">
            <w:pPr>
              <w:rPr>
                <w:rFonts w:hint="default" w:ascii="Calibri" w:hAnsi="Calibri" w:cs="Calibri"/>
                <w:b/>
                <w:bCs/>
                <w:i w:val="0"/>
                <w:iCs w:val="0"/>
                <w:color w:val="000000"/>
                <w:sz w:val="24"/>
                <w:szCs w:val="24"/>
                <w:u w:val="none"/>
              </w:rPr>
            </w:pPr>
          </w:p>
        </w:tc>
      </w:tr>
      <w:tr w14:paraId="17A7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00" w:type="dxa"/>
            <w:tcBorders>
              <w:top w:val="nil"/>
              <w:left w:val="single" w:color="000000" w:sz="8" w:space="0"/>
              <w:bottom w:val="nil"/>
              <w:right w:val="nil"/>
            </w:tcBorders>
            <w:shd w:val="clear" w:color="auto" w:fill="auto"/>
            <w:noWrap/>
            <w:vAlign w:val="bottom"/>
          </w:tcPr>
          <w:p w14:paraId="26CA93A8">
            <w:pPr>
              <w:jc w:val="right"/>
              <w:rPr>
                <w:rFonts w:hint="default" w:ascii="Calibri" w:hAnsi="Calibri" w:cs="Calibri"/>
                <w:b/>
                <w:bCs/>
                <w:i w:val="0"/>
                <w:iCs w:val="0"/>
                <w:color w:val="000000"/>
                <w:sz w:val="24"/>
                <w:szCs w:val="24"/>
                <w:u w:val="none"/>
              </w:rPr>
            </w:pPr>
          </w:p>
        </w:tc>
        <w:tc>
          <w:tcPr>
            <w:tcW w:w="1441" w:type="dxa"/>
            <w:tcBorders>
              <w:top w:val="nil"/>
              <w:left w:val="nil"/>
              <w:bottom w:val="nil"/>
              <w:right w:val="single" w:color="000000" w:sz="8" w:space="0"/>
            </w:tcBorders>
            <w:shd w:val="clear" w:color="auto" w:fill="auto"/>
            <w:noWrap/>
            <w:vAlign w:val="bottom"/>
          </w:tcPr>
          <w:p w14:paraId="0286E7C3">
            <w:pPr>
              <w:jc w:val="right"/>
              <w:rPr>
                <w:rFonts w:hint="default" w:ascii="Calibri" w:hAnsi="Calibri" w:cs="Calibri"/>
                <w:b/>
                <w:bCs/>
                <w:i w:val="0"/>
                <w:iCs w:val="0"/>
                <w:color w:val="000000"/>
                <w:sz w:val="24"/>
                <w:szCs w:val="24"/>
                <w:u w:val="none"/>
              </w:rPr>
            </w:pPr>
          </w:p>
        </w:tc>
        <w:tc>
          <w:tcPr>
            <w:tcW w:w="720" w:type="dxa"/>
            <w:tcBorders>
              <w:top w:val="nil"/>
              <w:left w:val="nil"/>
              <w:bottom w:val="nil"/>
              <w:right w:val="nil"/>
            </w:tcBorders>
            <w:shd w:val="clear" w:color="auto" w:fill="auto"/>
            <w:noWrap/>
            <w:vAlign w:val="bottom"/>
          </w:tcPr>
          <w:p w14:paraId="6D9E26B1">
            <w:pPr>
              <w:jc w:val="right"/>
              <w:rPr>
                <w:rFonts w:hint="default" w:ascii="Calibri" w:hAnsi="Calibri" w:cs="Calibri"/>
                <w:b/>
                <w:bCs/>
                <w:i w:val="0"/>
                <w:iCs w:val="0"/>
                <w:color w:val="000000"/>
                <w:sz w:val="24"/>
                <w:szCs w:val="24"/>
                <w:u w:val="none"/>
              </w:rPr>
            </w:pPr>
          </w:p>
        </w:tc>
        <w:tc>
          <w:tcPr>
            <w:tcW w:w="960" w:type="dxa"/>
            <w:tcBorders>
              <w:top w:val="nil"/>
              <w:left w:val="single" w:color="000000" w:sz="8" w:space="0"/>
              <w:bottom w:val="nil"/>
              <w:right w:val="nil"/>
            </w:tcBorders>
            <w:shd w:val="clear" w:color="auto" w:fill="auto"/>
            <w:noWrap/>
            <w:vAlign w:val="bottom"/>
          </w:tcPr>
          <w:p w14:paraId="3D6ECF2D">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12,8m2</w:t>
            </w:r>
          </w:p>
        </w:tc>
        <w:tc>
          <w:tcPr>
            <w:tcW w:w="750" w:type="dxa"/>
            <w:tcBorders>
              <w:top w:val="nil"/>
              <w:left w:val="nil"/>
              <w:bottom w:val="nil"/>
              <w:right w:val="single" w:color="000000" w:sz="8" w:space="0"/>
            </w:tcBorders>
            <w:shd w:val="clear" w:color="auto" w:fill="auto"/>
            <w:noWrap/>
            <w:vAlign w:val="bottom"/>
          </w:tcPr>
          <w:p w14:paraId="1C70721F">
            <w:pPr>
              <w:rPr>
                <w:rFonts w:hint="default" w:ascii="Calibri" w:hAnsi="Calibri" w:cs="Calibri"/>
                <w:b/>
                <w:bCs/>
                <w:i w:val="0"/>
                <w:iCs w:val="0"/>
                <w:color w:val="000000"/>
                <w:sz w:val="24"/>
                <w:szCs w:val="24"/>
                <w:u w:val="none"/>
              </w:rPr>
            </w:pPr>
          </w:p>
        </w:tc>
      </w:tr>
      <w:tr w14:paraId="4E57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00" w:type="dxa"/>
            <w:tcBorders>
              <w:top w:val="nil"/>
              <w:left w:val="single" w:color="000000" w:sz="8" w:space="0"/>
              <w:bottom w:val="single" w:color="000000" w:sz="8" w:space="0"/>
              <w:right w:val="nil"/>
            </w:tcBorders>
            <w:shd w:val="clear" w:color="auto" w:fill="auto"/>
            <w:noWrap/>
            <w:vAlign w:val="bottom"/>
          </w:tcPr>
          <w:p w14:paraId="709318A4">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4 m</w:t>
            </w:r>
            <w:r>
              <w:rPr>
                <w:rFonts w:ascii="Aharoni" w:hAnsi="Aharoni" w:eastAsia="Aharoni" w:cs="Aharoni"/>
                <w:b/>
                <w:bCs/>
                <w:i w:val="0"/>
                <w:iCs w:val="0"/>
                <w:color w:val="000000"/>
                <w:kern w:val="0"/>
                <w:sz w:val="24"/>
                <w:szCs w:val="24"/>
                <w:u w:val="none"/>
                <w:lang w:val="en-US" w:eastAsia="zh-CN" w:bidi="ar"/>
              </w:rPr>
              <w:t>'</w:t>
            </w:r>
          </w:p>
        </w:tc>
        <w:tc>
          <w:tcPr>
            <w:tcW w:w="1441" w:type="dxa"/>
            <w:tcBorders>
              <w:top w:val="nil"/>
              <w:left w:val="nil"/>
              <w:bottom w:val="single" w:color="000000" w:sz="8" w:space="0"/>
              <w:right w:val="single" w:color="000000" w:sz="8" w:space="0"/>
            </w:tcBorders>
            <w:shd w:val="clear" w:color="auto" w:fill="auto"/>
            <w:noWrap/>
            <w:vAlign w:val="bottom"/>
          </w:tcPr>
          <w:p w14:paraId="015DBA05">
            <w:pPr>
              <w:rPr>
                <w:rFonts w:hint="default" w:ascii="Calibri" w:hAnsi="Calibri" w:cs="Calibri"/>
                <w:b/>
                <w:bCs/>
                <w:i w:val="0"/>
                <w:iCs w:val="0"/>
                <w:color w:val="000000"/>
                <w:sz w:val="24"/>
                <w:szCs w:val="24"/>
                <w:u w:val="none"/>
              </w:rPr>
            </w:pPr>
          </w:p>
        </w:tc>
        <w:tc>
          <w:tcPr>
            <w:tcW w:w="720" w:type="dxa"/>
            <w:tcBorders>
              <w:top w:val="nil"/>
              <w:left w:val="nil"/>
              <w:bottom w:val="nil"/>
              <w:right w:val="nil"/>
            </w:tcBorders>
            <w:shd w:val="clear" w:color="auto" w:fill="auto"/>
            <w:noWrap/>
            <w:vAlign w:val="bottom"/>
          </w:tcPr>
          <w:p w14:paraId="1760612A">
            <w:pPr>
              <w:rPr>
                <w:rFonts w:hint="default" w:ascii="Calibri" w:hAnsi="Calibri" w:cs="Calibri"/>
                <w:b/>
                <w:bCs/>
                <w:i w:val="0"/>
                <w:iCs w:val="0"/>
                <w:color w:val="000000"/>
                <w:sz w:val="24"/>
                <w:szCs w:val="24"/>
                <w:u w:val="none"/>
              </w:rPr>
            </w:pPr>
          </w:p>
        </w:tc>
        <w:tc>
          <w:tcPr>
            <w:tcW w:w="960" w:type="dxa"/>
            <w:tcBorders>
              <w:top w:val="nil"/>
              <w:left w:val="single" w:color="000000" w:sz="8" w:space="0"/>
              <w:bottom w:val="single" w:color="000000" w:sz="8" w:space="0"/>
              <w:right w:val="nil"/>
            </w:tcBorders>
            <w:shd w:val="clear" w:color="auto" w:fill="auto"/>
            <w:noWrap/>
            <w:vAlign w:val="bottom"/>
          </w:tcPr>
          <w:p w14:paraId="57D9678B">
            <w:pPr>
              <w:keepNext w:val="0"/>
              <w:keepLines w:val="0"/>
              <w:widowControl/>
              <w:suppressLineNumbers w:val="0"/>
              <w:jc w:val="right"/>
              <w:textAlignment w:val="bottom"/>
              <w:rPr>
                <w:rFonts w:hint="default" w:ascii="Calibri" w:hAnsi="Calibri" w:cs="Calibri"/>
                <w:b/>
                <w:bCs/>
                <w:i w:val="0"/>
                <w:iCs w:val="0"/>
                <w:color w:val="000000"/>
                <w:u w:val="none"/>
              </w:rPr>
            </w:pPr>
            <w:r>
              <w:rPr>
                <w:rFonts w:hint="default" w:ascii="Calibri" w:hAnsi="Calibri" w:eastAsia="SimSun" w:cs="Calibri"/>
                <w:b/>
                <w:bCs/>
                <w:i w:val="0"/>
                <w:iCs w:val="0"/>
                <w:color w:val="000000"/>
                <w:kern w:val="0"/>
                <w:sz w:val="24"/>
                <w:szCs w:val="24"/>
                <w:u w:val="none"/>
                <w:lang w:val="en-US" w:eastAsia="zh-CN" w:bidi="ar"/>
              </w:rPr>
              <w:t>3,5 m</w:t>
            </w:r>
            <w:r>
              <w:rPr>
                <w:rFonts w:ascii="Aharoni" w:hAnsi="Aharoni" w:eastAsia="Aharoni" w:cs="Aharoni"/>
                <w:b/>
                <w:bCs/>
                <w:i w:val="0"/>
                <w:iCs w:val="0"/>
                <w:color w:val="000000"/>
                <w:kern w:val="0"/>
                <w:sz w:val="24"/>
                <w:szCs w:val="24"/>
                <w:u w:val="none"/>
                <w:lang w:val="en-US" w:eastAsia="zh-CN" w:bidi="ar"/>
              </w:rPr>
              <w:t>'</w:t>
            </w:r>
          </w:p>
        </w:tc>
        <w:tc>
          <w:tcPr>
            <w:tcW w:w="750" w:type="dxa"/>
            <w:tcBorders>
              <w:top w:val="nil"/>
              <w:left w:val="nil"/>
              <w:bottom w:val="single" w:color="000000" w:sz="8" w:space="0"/>
              <w:right w:val="single" w:color="000000" w:sz="8" w:space="0"/>
            </w:tcBorders>
            <w:shd w:val="clear" w:color="auto" w:fill="auto"/>
            <w:noWrap/>
            <w:vAlign w:val="bottom"/>
          </w:tcPr>
          <w:p w14:paraId="10090B2B">
            <w:pPr>
              <w:rPr>
                <w:rFonts w:hint="default" w:ascii="Calibri" w:hAnsi="Calibri" w:cs="Calibri"/>
                <w:b/>
                <w:bCs/>
                <w:i w:val="0"/>
                <w:iCs w:val="0"/>
                <w:color w:val="000000"/>
                <w:sz w:val="24"/>
                <w:szCs w:val="24"/>
                <w:u w:val="none"/>
              </w:rPr>
            </w:pPr>
          </w:p>
        </w:tc>
      </w:tr>
    </w:tbl>
    <w:p w14:paraId="3B3830ED">
      <w:pPr>
        <w:rPr>
          <w:rFonts w:hint="default"/>
          <w:lang w:val="hr-HR"/>
        </w:rPr>
      </w:pPr>
    </w:p>
    <w:tbl>
      <w:tblPr>
        <w:tblStyle w:val="3"/>
        <w:tblpPr w:leftFromText="180" w:rightFromText="180" w:vertAnchor="text" w:horzAnchor="page" w:tblpX="4407" w:tblpY="330"/>
        <w:tblOverlap w:val="never"/>
        <w:tblW w:w="104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8"/>
      </w:tblGrid>
      <w:tr w14:paraId="1FCA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48" w:type="dxa"/>
            <w:vMerge w:val="restart"/>
            <w:tcBorders>
              <w:top w:val="dashed" w:color="000000" w:sz="8" w:space="0"/>
              <w:left w:val="dashed" w:color="000000" w:sz="8" w:space="0"/>
              <w:bottom w:val="dashed" w:color="000000" w:sz="8" w:space="0"/>
              <w:right w:val="dashed" w:color="000000" w:sz="8" w:space="0"/>
            </w:tcBorders>
            <w:shd w:val="clear" w:color="auto" w:fill="C5D9F1"/>
            <w:noWrap/>
            <w:vAlign w:val="bottom"/>
          </w:tcPr>
          <w:p w14:paraId="3B292936">
            <w:pPr>
              <w:keepNext w:val="0"/>
              <w:keepLines w:val="0"/>
              <w:widowControl/>
              <w:suppressLineNumbers w:val="0"/>
              <w:jc w:val="right"/>
              <w:textAlignment w:val="bottom"/>
              <w:rPr>
                <w:rFonts w:ascii="Calibri" w:hAnsi="Calibri" w:cs="Calibri"/>
                <w:b/>
                <w:bCs/>
                <w:i w:val="0"/>
                <w:iCs w:val="0"/>
                <w:color w:val="000000"/>
                <w:u w:val="none"/>
              </w:rPr>
            </w:pPr>
            <w:r>
              <w:rPr>
                <w:rFonts w:hint="default" w:ascii="Calibri" w:hAnsi="Calibri" w:eastAsia="SimSun" w:cs="Calibri"/>
                <w:b/>
                <w:bCs/>
                <w:i w:val="0"/>
                <w:iCs w:val="0"/>
                <w:color w:val="000000"/>
                <w:kern w:val="0"/>
                <w:sz w:val="20"/>
                <w:szCs w:val="20"/>
                <w:u w:val="none"/>
                <w:lang w:val="en-US" w:eastAsia="zh-CN" w:bidi="ar"/>
              </w:rPr>
              <w:t>FONTANA</w:t>
            </w:r>
          </w:p>
        </w:tc>
      </w:tr>
      <w:tr w14:paraId="3B106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48" w:type="dxa"/>
            <w:vMerge w:val="continue"/>
            <w:tcBorders>
              <w:top w:val="dashed" w:color="000000" w:sz="8" w:space="0"/>
              <w:left w:val="dashed" w:color="000000" w:sz="8" w:space="0"/>
              <w:bottom w:val="dashed" w:color="000000" w:sz="8" w:space="0"/>
              <w:right w:val="dashed" w:color="000000" w:sz="8" w:space="0"/>
            </w:tcBorders>
            <w:shd w:val="clear" w:color="auto" w:fill="C5D9F1"/>
            <w:noWrap/>
            <w:vAlign w:val="bottom"/>
          </w:tcPr>
          <w:p w14:paraId="3E367D34">
            <w:pPr>
              <w:jc w:val="right"/>
              <w:rPr>
                <w:rFonts w:hint="default" w:ascii="Calibri" w:hAnsi="Calibri" w:cs="Calibri"/>
                <w:b/>
                <w:bCs/>
                <w:i w:val="0"/>
                <w:iCs w:val="0"/>
                <w:color w:val="000000"/>
                <w:sz w:val="24"/>
                <w:szCs w:val="24"/>
                <w:u w:val="none"/>
              </w:rPr>
            </w:pPr>
          </w:p>
        </w:tc>
      </w:tr>
    </w:tbl>
    <w:p w14:paraId="6430D322">
      <w:pPr>
        <w:rPr>
          <w:rFonts w:hint="default"/>
          <w:lang w:val="hr-HR"/>
        </w:rPr>
      </w:pPr>
    </w:p>
    <w:p w14:paraId="509C3404">
      <w:pPr>
        <w:rPr>
          <w:rFonts w:hint="default"/>
          <w:lang w:val="hr-HR"/>
        </w:rPr>
      </w:pPr>
      <w:r>
        <w:rPr>
          <w:rFonts w:hint="default"/>
          <w:lang w:val="hr-HR"/>
        </w:rPr>
        <w:t xml:space="preserve">   </w:t>
      </w:r>
    </w:p>
    <w:p w14:paraId="3AE5A1E7"/>
    <w:p w14:paraId="1CDD2E04"/>
    <w:p w14:paraId="0D8EC9EE">
      <w:pPr>
        <w:rPr>
          <w:b/>
        </w:rPr>
      </w:pPr>
    </w:p>
    <w:p w14:paraId="79E52D74">
      <w:pPr>
        <w:rPr>
          <w:b/>
        </w:rPr>
      </w:pPr>
    </w:p>
    <w:p w14:paraId="52194D47">
      <w:pPr>
        <w:pBdr>
          <w:bottom w:val="single" w:color="auto" w:sz="12" w:space="0"/>
        </w:pBdr>
        <w:rPr>
          <w:b w:val="0"/>
          <w:bCs/>
        </w:rPr>
      </w:pPr>
    </w:p>
    <w:p w14:paraId="26D7FB8B">
      <w:pPr>
        <w:rPr>
          <w:rFonts w:hint="default"/>
          <w:b w:val="0"/>
          <w:bCs/>
          <w:lang w:val="hr-HR"/>
        </w:rPr>
      </w:pPr>
    </w:p>
    <w:p w14:paraId="69465C00">
      <w:pPr>
        <w:rPr>
          <w:rFonts w:hint="default"/>
          <w:b w:val="0"/>
          <w:bCs/>
          <w:lang w:val="hr-HR"/>
        </w:rPr>
      </w:pPr>
    </w:p>
    <w:p w14:paraId="14E3B3C1">
      <w:pPr>
        <w:pBdr>
          <w:bottom w:val="single" w:color="auto" w:sz="12" w:space="0"/>
        </w:pBdr>
        <w:rPr>
          <w:rFonts w:hint="default"/>
          <w:b w:val="0"/>
          <w:bCs/>
          <w:lang w:val="hr-HR"/>
        </w:rPr>
      </w:pPr>
    </w:p>
    <w:p w14:paraId="79FCC5A4">
      <w:pPr>
        <w:rPr>
          <w:rFonts w:hint="default"/>
          <w:b w:val="0"/>
          <w:bCs/>
          <w:lang w:val="hr-HR"/>
        </w:rPr>
      </w:pPr>
    </w:p>
    <w:sectPr>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Aharoni">
    <w:altName w:val="Liberation Mono"/>
    <w:panose1 w:val="00000000000000000000"/>
    <w:charset w:val="B1"/>
    <w:family w:val="auto"/>
    <w:pitch w:val="default"/>
    <w:sig w:usb0="00000000" w:usb1="00000000" w:usb2="00000000" w:usb3="00000000" w:csb0="00000021" w:csb1="00000000"/>
  </w:font>
  <w:font w:name="Liberation Mono">
    <w:panose1 w:val="02070409020205020404"/>
    <w:charset w:val="00"/>
    <w:family w:val="auto"/>
    <w:pitch w:val="default"/>
    <w:sig w:usb0="E0000AFF" w:usb1="400078FF" w:usb2="00000001" w:usb3="00000000" w:csb0="600001BF" w:csb1="DFF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41116">
    <w:pPr>
      <w:pStyle w:val="9"/>
      <w:jc w:val="right"/>
    </w:pPr>
    <w:r>
      <w:fldChar w:fldCharType="begin"/>
    </w:r>
    <w:r>
      <w:instrText xml:space="preserve"> PAGE   \* MERGEFORMAT </w:instrText>
    </w:r>
    <w:r>
      <w:fldChar w:fldCharType="separate"/>
    </w:r>
    <w:r>
      <w:t>6</w:t>
    </w:r>
    <w:r>
      <w:fldChar w:fldCharType="end"/>
    </w:r>
  </w:p>
  <w:p w14:paraId="52227122">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9DC32">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17ACA">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65B2A">
    <w:pPr>
      <w:pStyle w:val="10"/>
      <w:jc w:val="center"/>
      <w:rPr>
        <w:b/>
        <w:sz w:val="26"/>
        <w:szCs w:val="26"/>
      </w:rPr>
    </w:pPr>
    <w:r>
      <w:rPr>
        <w:b/>
        <w:sz w:val="26"/>
        <w:szCs w:val="26"/>
      </w:rPr>
      <w:t>PRIMORSKO KOMUNALNO DRUŠTVO D.O.O.</w:t>
    </w:r>
  </w:p>
  <w:p w14:paraId="3B87E96B">
    <w:pPr>
      <w:pStyle w:val="10"/>
      <w:jc w:val="center"/>
      <w:rPr>
        <w:i/>
        <w:sz w:val="22"/>
        <w:szCs w:val="22"/>
      </w:rPr>
    </w:pPr>
    <w:r>
      <w:rPr>
        <w:i/>
        <w:sz w:val="22"/>
        <w:szCs w:val="22"/>
      </w:rPr>
      <w:t>Obala Ohmučevića 2,, 20232 Slano, OIB: 20139113333, IBAN: HR5924840081106786941</w:t>
    </w:r>
  </w:p>
  <w:p w14:paraId="1AABE803">
    <w:pPr>
      <w:pStyle w:val="10"/>
      <w:jc w:val="center"/>
      <w:rPr>
        <w:i/>
        <w:sz w:val="22"/>
        <w:szCs w:val="22"/>
      </w:rPr>
    </w:pPr>
    <w:r>
      <w:rPr>
        <w:i/>
        <w:sz w:val="22"/>
        <w:szCs w:val="22"/>
      </w:rPr>
      <w:t>tel. +385 20 871 088, fax. +385 20 871 370</w:t>
    </w:r>
  </w:p>
  <w:p w14:paraId="7A70CBDB">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8440">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D899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150AE4"/>
    <w:multiLevelType w:val="multilevel"/>
    <w:tmpl w:val="0D150AE4"/>
    <w:lvl w:ilvl="0" w:tentative="0">
      <w:start w:val="0"/>
      <w:numFmt w:val="bullet"/>
      <w:lvlText w:val="-"/>
      <w:lvlJc w:val="left"/>
      <w:pPr>
        <w:ind w:left="720" w:hanging="360"/>
      </w:pPr>
      <w:rPr>
        <w:rFonts w:hint="default" w:ascii="Arial" w:hAnsi="Aria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7974930"/>
    <w:multiLevelType w:val="multilevel"/>
    <w:tmpl w:val="3797493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34A1D77"/>
    <w:multiLevelType w:val="multilevel"/>
    <w:tmpl w:val="434A1D77"/>
    <w:lvl w:ilvl="0" w:tentative="0">
      <w:start w:val="1"/>
      <w:numFmt w:val="bullet"/>
      <w:lvlText w:val=""/>
      <w:lvlJc w:val="left"/>
      <w:pPr>
        <w:ind w:left="784" w:hanging="360"/>
      </w:pPr>
      <w:rPr>
        <w:rFonts w:hint="default" w:ascii="Symbol" w:hAnsi="Symbol"/>
        <w:color w:val="000000" w:themeColor="text1"/>
        <w14:textFill>
          <w14:solidFill>
            <w14:schemeClr w14:val="tx1"/>
          </w14:solidFill>
        </w14:textFill>
      </w:rPr>
    </w:lvl>
    <w:lvl w:ilvl="1" w:tentative="0">
      <w:start w:val="1"/>
      <w:numFmt w:val="bullet"/>
      <w:lvlText w:val="o"/>
      <w:lvlJc w:val="left"/>
      <w:pPr>
        <w:ind w:left="1504" w:hanging="360"/>
      </w:pPr>
      <w:rPr>
        <w:rFonts w:hint="default" w:ascii="Courier New" w:hAnsi="Courier New" w:cs="Courier New"/>
      </w:rPr>
    </w:lvl>
    <w:lvl w:ilvl="2" w:tentative="0">
      <w:start w:val="1"/>
      <w:numFmt w:val="bullet"/>
      <w:lvlText w:val=""/>
      <w:lvlJc w:val="left"/>
      <w:pPr>
        <w:ind w:left="2224" w:hanging="360"/>
      </w:pPr>
      <w:rPr>
        <w:rFonts w:hint="default" w:ascii="Wingdings" w:hAnsi="Wingdings"/>
      </w:rPr>
    </w:lvl>
    <w:lvl w:ilvl="3" w:tentative="0">
      <w:start w:val="1"/>
      <w:numFmt w:val="bullet"/>
      <w:lvlText w:val=""/>
      <w:lvlJc w:val="left"/>
      <w:pPr>
        <w:ind w:left="2944" w:hanging="360"/>
      </w:pPr>
      <w:rPr>
        <w:rFonts w:hint="default" w:ascii="Symbol" w:hAnsi="Symbol"/>
      </w:rPr>
    </w:lvl>
    <w:lvl w:ilvl="4" w:tentative="0">
      <w:start w:val="1"/>
      <w:numFmt w:val="bullet"/>
      <w:lvlText w:val="o"/>
      <w:lvlJc w:val="left"/>
      <w:pPr>
        <w:ind w:left="3664" w:hanging="360"/>
      </w:pPr>
      <w:rPr>
        <w:rFonts w:hint="default" w:ascii="Courier New" w:hAnsi="Courier New" w:cs="Courier New"/>
      </w:rPr>
    </w:lvl>
    <w:lvl w:ilvl="5" w:tentative="0">
      <w:start w:val="1"/>
      <w:numFmt w:val="bullet"/>
      <w:lvlText w:val=""/>
      <w:lvlJc w:val="left"/>
      <w:pPr>
        <w:ind w:left="4384" w:hanging="360"/>
      </w:pPr>
      <w:rPr>
        <w:rFonts w:hint="default" w:ascii="Wingdings" w:hAnsi="Wingdings"/>
      </w:rPr>
    </w:lvl>
    <w:lvl w:ilvl="6" w:tentative="0">
      <w:start w:val="1"/>
      <w:numFmt w:val="bullet"/>
      <w:lvlText w:val=""/>
      <w:lvlJc w:val="left"/>
      <w:pPr>
        <w:ind w:left="5104" w:hanging="360"/>
      </w:pPr>
      <w:rPr>
        <w:rFonts w:hint="default" w:ascii="Symbol" w:hAnsi="Symbol"/>
      </w:rPr>
    </w:lvl>
    <w:lvl w:ilvl="7" w:tentative="0">
      <w:start w:val="1"/>
      <w:numFmt w:val="bullet"/>
      <w:lvlText w:val="o"/>
      <w:lvlJc w:val="left"/>
      <w:pPr>
        <w:ind w:left="5824" w:hanging="360"/>
      </w:pPr>
      <w:rPr>
        <w:rFonts w:hint="default" w:ascii="Courier New" w:hAnsi="Courier New" w:cs="Courier New"/>
      </w:rPr>
    </w:lvl>
    <w:lvl w:ilvl="8" w:tentative="0">
      <w:start w:val="1"/>
      <w:numFmt w:val="bullet"/>
      <w:lvlText w:val=""/>
      <w:lvlJc w:val="left"/>
      <w:pPr>
        <w:ind w:left="6544" w:hanging="360"/>
      </w:pPr>
      <w:rPr>
        <w:rFonts w:hint="default" w:ascii="Wingdings" w:hAnsi="Wingdings"/>
      </w:rPr>
    </w:lvl>
  </w:abstractNum>
  <w:abstractNum w:abstractNumId="3">
    <w:nsid w:val="7ABA08E7"/>
    <w:multiLevelType w:val="multilevel"/>
    <w:tmpl w:val="7ABA08E7"/>
    <w:lvl w:ilvl="0" w:tentative="0">
      <w:start w:val="1"/>
      <w:numFmt w:val="bullet"/>
      <w:lvlText w:val=""/>
      <w:lvlJc w:val="left"/>
      <w:pPr>
        <w:ind w:left="1434" w:hanging="360"/>
      </w:pPr>
      <w:rPr>
        <w:rFonts w:hint="default" w:ascii="Symbol" w:hAnsi="Symbol"/>
        <w:color w:val="auto"/>
      </w:rPr>
    </w:lvl>
    <w:lvl w:ilvl="1" w:tentative="0">
      <w:start w:val="1"/>
      <w:numFmt w:val="bullet"/>
      <w:lvlText w:val="o"/>
      <w:lvlJc w:val="left"/>
      <w:pPr>
        <w:ind w:left="2154" w:hanging="360"/>
      </w:pPr>
      <w:rPr>
        <w:rFonts w:hint="default" w:ascii="Courier New" w:hAnsi="Courier New" w:cs="Courier New"/>
      </w:rPr>
    </w:lvl>
    <w:lvl w:ilvl="2" w:tentative="0">
      <w:start w:val="1"/>
      <w:numFmt w:val="bullet"/>
      <w:lvlText w:val=""/>
      <w:lvlJc w:val="left"/>
      <w:pPr>
        <w:ind w:left="2874" w:hanging="360"/>
      </w:pPr>
      <w:rPr>
        <w:rFonts w:hint="default" w:ascii="Wingdings" w:hAnsi="Wingdings"/>
      </w:rPr>
    </w:lvl>
    <w:lvl w:ilvl="3" w:tentative="0">
      <w:start w:val="1"/>
      <w:numFmt w:val="bullet"/>
      <w:lvlText w:val=""/>
      <w:lvlJc w:val="left"/>
      <w:pPr>
        <w:ind w:left="3594" w:hanging="360"/>
      </w:pPr>
      <w:rPr>
        <w:rFonts w:hint="default" w:ascii="Symbol" w:hAnsi="Symbol"/>
      </w:rPr>
    </w:lvl>
    <w:lvl w:ilvl="4" w:tentative="0">
      <w:start w:val="1"/>
      <w:numFmt w:val="bullet"/>
      <w:lvlText w:val="o"/>
      <w:lvlJc w:val="left"/>
      <w:pPr>
        <w:ind w:left="4314" w:hanging="360"/>
      </w:pPr>
      <w:rPr>
        <w:rFonts w:hint="default" w:ascii="Courier New" w:hAnsi="Courier New" w:cs="Courier New"/>
      </w:rPr>
    </w:lvl>
    <w:lvl w:ilvl="5" w:tentative="0">
      <w:start w:val="1"/>
      <w:numFmt w:val="bullet"/>
      <w:lvlText w:val=""/>
      <w:lvlJc w:val="left"/>
      <w:pPr>
        <w:ind w:left="5034" w:hanging="360"/>
      </w:pPr>
      <w:rPr>
        <w:rFonts w:hint="default" w:ascii="Wingdings" w:hAnsi="Wingdings"/>
      </w:rPr>
    </w:lvl>
    <w:lvl w:ilvl="6" w:tentative="0">
      <w:start w:val="1"/>
      <w:numFmt w:val="bullet"/>
      <w:lvlText w:val=""/>
      <w:lvlJc w:val="left"/>
      <w:pPr>
        <w:ind w:left="5754" w:hanging="360"/>
      </w:pPr>
      <w:rPr>
        <w:rFonts w:hint="default" w:ascii="Symbol" w:hAnsi="Symbol"/>
      </w:rPr>
    </w:lvl>
    <w:lvl w:ilvl="7" w:tentative="0">
      <w:start w:val="1"/>
      <w:numFmt w:val="bullet"/>
      <w:lvlText w:val="o"/>
      <w:lvlJc w:val="left"/>
      <w:pPr>
        <w:ind w:left="6474" w:hanging="360"/>
      </w:pPr>
      <w:rPr>
        <w:rFonts w:hint="default" w:ascii="Courier New" w:hAnsi="Courier New" w:cs="Courier New"/>
      </w:rPr>
    </w:lvl>
    <w:lvl w:ilvl="8" w:tentative="0">
      <w:start w:val="1"/>
      <w:numFmt w:val="bullet"/>
      <w:lvlText w:val=""/>
      <w:lvlJc w:val="left"/>
      <w:pPr>
        <w:ind w:left="7194" w:hanging="36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FFE"/>
    <w:rsid w:val="0000136A"/>
    <w:rsid w:val="00004875"/>
    <w:rsid w:val="00004B37"/>
    <w:rsid w:val="000060E0"/>
    <w:rsid w:val="000069C6"/>
    <w:rsid w:val="00007A7F"/>
    <w:rsid w:val="00010828"/>
    <w:rsid w:val="00015445"/>
    <w:rsid w:val="00015CED"/>
    <w:rsid w:val="00020E55"/>
    <w:rsid w:val="00023283"/>
    <w:rsid w:val="000233DF"/>
    <w:rsid w:val="000234F0"/>
    <w:rsid w:val="00026AD2"/>
    <w:rsid w:val="00027E5F"/>
    <w:rsid w:val="00030721"/>
    <w:rsid w:val="000307BF"/>
    <w:rsid w:val="000351D0"/>
    <w:rsid w:val="00037F7B"/>
    <w:rsid w:val="000408F9"/>
    <w:rsid w:val="00041335"/>
    <w:rsid w:val="00042124"/>
    <w:rsid w:val="00042FAD"/>
    <w:rsid w:val="000456C9"/>
    <w:rsid w:val="00045DEB"/>
    <w:rsid w:val="000462A2"/>
    <w:rsid w:val="00064575"/>
    <w:rsid w:val="00064ED4"/>
    <w:rsid w:val="0007046F"/>
    <w:rsid w:val="00070470"/>
    <w:rsid w:val="00074EF7"/>
    <w:rsid w:val="00093B1C"/>
    <w:rsid w:val="00095A8F"/>
    <w:rsid w:val="000A2C69"/>
    <w:rsid w:val="000A6484"/>
    <w:rsid w:val="000A72E8"/>
    <w:rsid w:val="000B0322"/>
    <w:rsid w:val="000B3D2D"/>
    <w:rsid w:val="000B5566"/>
    <w:rsid w:val="000B5631"/>
    <w:rsid w:val="000C2B5B"/>
    <w:rsid w:val="000C3F50"/>
    <w:rsid w:val="000C7ED8"/>
    <w:rsid w:val="000D005E"/>
    <w:rsid w:val="000D2A8E"/>
    <w:rsid w:val="000D52FC"/>
    <w:rsid w:val="000E3827"/>
    <w:rsid w:val="000E3C22"/>
    <w:rsid w:val="000F2CD9"/>
    <w:rsid w:val="000F2D93"/>
    <w:rsid w:val="00103CF2"/>
    <w:rsid w:val="00104A3A"/>
    <w:rsid w:val="00105E1A"/>
    <w:rsid w:val="00113656"/>
    <w:rsid w:val="00117ECE"/>
    <w:rsid w:val="00122213"/>
    <w:rsid w:val="001233D6"/>
    <w:rsid w:val="00123706"/>
    <w:rsid w:val="0012454C"/>
    <w:rsid w:val="00125F3E"/>
    <w:rsid w:val="00131A21"/>
    <w:rsid w:val="0013297F"/>
    <w:rsid w:val="00133134"/>
    <w:rsid w:val="00136017"/>
    <w:rsid w:val="001363CC"/>
    <w:rsid w:val="00137025"/>
    <w:rsid w:val="001435D6"/>
    <w:rsid w:val="00144A45"/>
    <w:rsid w:val="00153D3C"/>
    <w:rsid w:val="00157D3D"/>
    <w:rsid w:val="001716C6"/>
    <w:rsid w:val="00172AD4"/>
    <w:rsid w:val="001769F6"/>
    <w:rsid w:val="00183FFE"/>
    <w:rsid w:val="00186284"/>
    <w:rsid w:val="001914CC"/>
    <w:rsid w:val="00195CD2"/>
    <w:rsid w:val="00197245"/>
    <w:rsid w:val="001A014D"/>
    <w:rsid w:val="001A2EA8"/>
    <w:rsid w:val="001A3782"/>
    <w:rsid w:val="001A3D56"/>
    <w:rsid w:val="001A640B"/>
    <w:rsid w:val="001B00BA"/>
    <w:rsid w:val="001B0FA4"/>
    <w:rsid w:val="001B1F6D"/>
    <w:rsid w:val="001B47A1"/>
    <w:rsid w:val="001B4AE3"/>
    <w:rsid w:val="001B5E07"/>
    <w:rsid w:val="001C0978"/>
    <w:rsid w:val="001C7515"/>
    <w:rsid w:val="001D09A6"/>
    <w:rsid w:val="001D7658"/>
    <w:rsid w:val="001E6802"/>
    <w:rsid w:val="001E6EEC"/>
    <w:rsid w:val="001E79AC"/>
    <w:rsid w:val="002034FD"/>
    <w:rsid w:val="00211FCB"/>
    <w:rsid w:val="00212452"/>
    <w:rsid w:val="002155A0"/>
    <w:rsid w:val="00222D47"/>
    <w:rsid w:val="00233158"/>
    <w:rsid w:val="00234EA6"/>
    <w:rsid w:val="00235744"/>
    <w:rsid w:val="002365DA"/>
    <w:rsid w:val="002410B6"/>
    <w:rsid w:val="002434D3"/>
    <w:rsid w:val="002465B9"/>
    <w:rsid w:val="00251451"/>
    <w:rsid w:val="00252025"/>
    <w:rsid w:val="00253A9E"/>
    <w:rsid w:val="00255811"/>
    <w:rsid w:val="0025596C"/>
    <w:rsid w:val="00264487"/>
    <w:rsid w:val="00267373"/>
    <w:rsid w:val="0027309A"/>
    <w:rsid w:val="00273293"/>
    <w:rsid w:val="00273E91"/>
    <w:rsid w:val="00276609"/>
    <w:rsid w:val="00283511"/>
    <w:rsid w:val="00286C2D"/>
    <w:rsid w:val="002915B6"/>
    <w:rsid w:val="00293686"/>
    <w:rsid w:val="002A10CD"/>
    <w:rsid w:val="002A2D37"/>
    <w:rsid w:val="002A7B2E"/>
    <w:rsid w:val="002B128E"/>
    <w:rsid w:val="002B23A4"/>
    <w:rsid w:val="002B2B3D"/>
    <w:rsid w:val="002B5E40"/>
    <w:rsid w:val="002B7035"/>
    <w:rsid w:val="002C245B"/>
    <w:rsid w:val="002C6DDF"/>
    <w:rsid w:val="002D49DC"/>
    <w:rsid w:val="002D4BB7"/>
    <w:rsid w:val="002D6828"/>
    <w:rsid w:val="002D6C91"/>
    <w:rsid w:val="002D7910"/>
    <w:rsid w:val="002E1BBB"/>
    <w:rsid w:val="002E20F4"/>
    <w:rsid w:val="002E2E63"/>
    <w:rsid w:val="002E313C"/>
    <w:rsid w:val="002F67DD"/>
    <w:rsid w:val="002F7747"/>
    <w:rsid w:val="00303096"/>
    <w:rsid w:val="00304D3E"/>
    <w:rsid w:val="003054EA"/>
    <w:rsid w:val="00305EC9"/>
    <w:rsid w:val="00307F64"/>
    <w:rsid w:val="003146CD"/>
    <w:rsid w:val="00316A97"/>
    <w:rsid w:val="00321851"/>
    <w:rsid w:val="003218ED"/>
    <w:rsid w:val="0032314A"/>
    <w:rsid w:val="003255BC"/>
    <w:rsid w:val="003359CB"/>
    <w:rsid w:val="00341B67"/>
    <w:rsid w:val="00347402"/>
    <w:rsid w:val="00353688"/>
    <w:rsid w:val="003606B8"/>
    <w:rsid w:val="0036078B"/>
    <w:rsid w:val="00361617"/>
    <w:rsid w:val="00361E78"/>
    <w:rsid w:val="003654A4"/>
    <w:rsid w:val="003671DC"/>
    <w:rsid w:val="00370906"/>
    <w:rsid w:val="003725B6"/>
    <w:rsid w:val="0037367D"/>
    <w:rsid w:val="0037372A"/>
    <w:rsid w:val="003741F8"/>
    <w:rsid w:val="00380F76"/>
    <w:rsid w:val="00381380"/>
    <w:rsid w:val="00384012"/>
    <w:rsid w:val="00394B44"/>
    <w:rsid w:val="003953E4"/>
    <w:rsid w:val="00397C2E"/>
    <w:rsid w:val="00397F22"/>
    <w:rsid w:val="003A17FB"/>
    <w:rsid w:val="003A5987"/>
    <w:rsid w:val="003A6533"/>
    <w:rsid w:val="003A6A79"/>
    <w:rsid w:val="003B0C6C"/>
    <w:rsid w:val="003B1A5A"/>
    <w:rsid w:val="003B2743"/>
    <w:rsid w:val="003C1CEC"/>
    <w:rsid w:val="003C40DE"/>
    <w:rsid w:val="003C69FA"/>
    <w:rsid w:val="003C6AEE"/>
    <w:rsid w:val="003D467C"/>
    <w:rsid w:val="003D76FC"/>
    <w:rsid w:val="003E7D0C"/>
    <w:rsid w:val="003F3686"/>
    <w:rsid w:val="003F5E45"/>
    <w:rsid w:val="003F7CC2"/>
    <w:rsid w:val="004005CE"/>
    <w:rsid w:val="00410DF0"/>
    <w:rsid w:val="00412C58"/>
    <w:rsid w:val="00413953"/>
    <w:rsid w:val="00420AE0"/>
    <w:rsid w:val="004211F7"/>
    <w:rsid w:val="00423F0E"/>
    <w:rsid w:val="00424889"/>
    <w:rsid w:val="00430DD9"/>
    <w:rsid w:val="00431DFF"/>
    <w:rsid w:val="0043232A"/>
    <w:rsid w:val="00432DFA"/>
    <w:rsid w:val="00437EE3"/>
    <w:rsid w:val="004403FE"/>
    <w:rsid w:val="00442E06"/>
    <w:rsid w:val="004465AE"/>
    <w:rsid w:val="0045183C"/>
    <w:rsid w:val="004632E7"/>
    <w:rsid w:val="004651F2"/>
    <w:rsid w:val="00475BBD"/>
    <w:rsid w:val="00480C58"/>
    <w:rsid w:val="0048454B"/>
    <w:rsid w:val="004902EF"/>
    <w:rsid w:val="0049318E"/>
    <w:rsid w:val="00493758"/>
    <w:rsid w:val="00495D8B"/>
    <w:rsid w:val="004A6341"/>
    <w:rsid w:val="004A772D"/>
    <w:rsid w:val="004B1A33"/>
    <w:rsid w:val="004B6DB1"/>
    <w:rsid w:val="004C1159"/>
    <w:rsid w:val="004C437F"/>
    <w:rsid w:val="004C7DC7"/>
    <w:rsid w:val="004D0E88"/>
    <w:rsid w:val="004D0ED9"/>
    <w:rsid w:val="004D66FC"/>
    <w:rsid w:val="004D7C87"/>
    <w:rsid w:val="004E074D"/>
    <w:rsid w:val="004E1671"/>
    <w:rsid w:val="004E1A7A"/>
    <w:rsid w:val="004E4F72"/>
    <w:rsid w:val="004E6086"/>
    <w:rsid w:val="004F0447"/>
    <w:rsid w:val="004F7ADF"/>
    <w:rsid w:val="004F7D35"/>
    <w:rsid w:val="00500AFD"/>
    <w:rsid w:val="00503F21"/>
    <w:rsid w:val="00513114"/>
    <w:rsid w:val="005159D7"/>
    <w:rsid w:val="00523247"/>
    <w:rsid w:val="00526CA0"/>
    <w:rsid w:val="00526D30"/>
    <w:rsid w:val="00526E66"/>
    <w:rsid w:val="0053142B"/>
    <w:rsid w:val="00531F79"/>
    <w:rsid w:val="005323A3"/>
    <w:rsid w:val="00532402"/>
    <w:rsid w:val="00535C9B"/>
    <w:rsid w:val="0053657B"/>
    <w:rsid w:val="00537572"/>
    <w:rsid w:val="00542E01"/>
    <w:rsid w:val="00544B87"/>
    <w:rsid w:val="0054546F"/>
    <w:rsid w:val="00545DCA"/>
    <w:rsid w:val="00547C06"/>
    <w:rsid w:val="00551F91"/>
    <w:rsid w:val="00552576"/>
    <w:rsid w:val="00554A7F"/>
    <w:rsid w:val="00557992"/>
    <w:rsid w:val="00561ECF"/>
    <w:rsid w:val="00563C82"/>
    <w:rsid w:val="005643C6"/>
    <w:rsid w:val="00566491"/>
    <w:rsid w:val="00571F9D"/>
    <w:rsid w:val="00572529"/>
    <w:rsid w:val="005753B1"/>
    <w:rsid w:val="005814A8"/>
    <w:rsid w:val="0058196A"/>
    <w:rsid w:val="0058236B"/>
    <w:rsid w:val="00582470"/>
    <w:rsid w:val="005851F2"/>
    <w:rsid w:val="00593526"/>
    <w:rsid w:val="005956ED"/>
    <w:rsid w:val="00596FAC"/>
    <w:rsid w:val="005A0E21"/>
    <w:rsid w:val="005A1786"/>
    <w:rsid w:val="005A3906"/>
    <w:rsid w:val="005A3E28"/>
    <w:rsid w:val="005A7A3E"/>
    <w:rsid w:val="005B13B8"/>
    <w:rsid w:val="005B1916"/>
    <w:rsid w:val="005B25E7"/>
    <w:rsid w:val="005B2736"/>
    <w:rsid w:val="005B2DAD"/>
    <w:rsid w:val="005B35B8"/>
    <w:rsid w:val="005B398C"/>
    <w:rsid w:val="005B4F09"/>
    <w:rsid w:val="005B7B52"/>
    <w:rsid w:val="005C0208"/>
    <w:rsid w:val="005C15FA"/>
    <w:rsid w:val="005C4FC3"/>
    <w:rsid w:val="005C5CE4"/>
    <w:rsid w:val="005C7F11"/>
    <w:rsid w:val="005D16C3"/>
    <w:rsid w:val="005D1B1E"/>
    <w:rsid w:val="005D4EBA"/>
    <w:rsid w:val="005D6FBB"/>
    <w:rsid w:val="005E22EA"/>
    <w:rsid w:val="005E333A"/>
    <w:rsid w:val="005E3A4C"/>
    <w:rsid w:val="005F3225"/>
    <w:rsid w:val="005F3C11"/>
    <w:rsid w:val="005F704C"/>
    <w:rsid w:val="005F7FD9"/>
    <w:rsid w:val="006009D5"/>
    <w:rsid w:val="006013F6"/>
    <w:rsid w:val="00602E04"/>
    <w:rsid w:val="006032E1"/>
    <w:rsid w:val="00605A42"/>
    <w:rsid w:val="00606D4D"/>
    <w:rsid w:val="00611D35"/>
    <w:rsid w:val="00612059"/>
    <w:rsid w:val="006139F0"/>
    <w:rsid w:val="00614561"/>
    <w:rsid w:val="00614921"/>
    <w:rsid w:val="006156D9"/>
    <w:rsid w:val="00616E17"/>
    <w:rsid w:val="006225FB"/>
    <w:rsid w:val="0062282F"/>
    <w:rsid w:val="0062642B"/>
    <w:rsid w:val="0063035A"/>
    <w:rsid w:val="0063496E"/>
    <w:rsid w:val="006358F9"/>
    <w:rsid w:val="006407A4"/>
    <w:rsid w:val="00646619"/>
    <w:rsid w:val="00653209"/>
    <w:rsid w:val="00653BC9"/>
    <w:rsid w:val="00654088"/>
    <w:rsid w:val="00654C36"/>
    <w:rsid w:val="00655014"/>
    <w:rsid w:val="00657E02"/>
    <w:rsid w:val="00663AA6"/>
    <w:rsid w:val="00664167"/>
    <w:rsid w:val="0066481F"/>
    <w:rsid w:val="00664CEB"/>
    <w:rsid w:val="0067141A"/>
    <w:rsid w:val="00671A0C"/>
    <w:rsid w:val="006721E3"/>
    <w:rsid w:val="00674E32"/>
    <w:rsid w:val="006761A1"/>
    <w:rsid w:val="006779FE"/>
    <w:rsid w:val="00680583"/>
    <w:rsid w:val="0068067B"/>
    <w:rsid w:val="006851A9"/>
    <w:rsid w:val="00686B69"/>
    <w:rsid w:val="0068747E"/>
    <w:rsid w:val="00687507"/>
    <w:rsid w:val="006915E3"/>
    <w:rsid w:val="0069287A"/>
    <w:rsid w:val="006A1274"/>
    <w:rsid w:val="006A4A7D"/>
    <w:rsid w:val="006A5C9A"/>
    <w:rsid w:val="006B49B9"/>
    <w:rsid w:val="006B5779"/>
    <w:rsid w:val="006B758C"/>
    <w:rsid w:val="006C2076"/>
    <w:rsid w:val="006C464D"/>
    <w:rsid w:val="006C4F91"/>
    <w:rsid w:val="006D7E2D"/>
    <w:rsid w:val="006E0294"/>
    <w:rsid w:val="006E170E"/>
    <w:rsid w:val="006E1AC4"/>
    <w:rsid w:val="006E299A"/>
    <w:rsid w:val="006E346E"/>
    <w:rsid w:val="006E37C5"/>
    <w:rsid w:val="006E65A7"/>
    <w:rsid w:val="006F13CD"/>
    <w:rsid w:val="006F2737"/>
    <w:rsid w:val="006F29B2"/>
    <w:rsid w:val="006F2BD7"/>
    <w:rsid w:val="006F32DA"/>
    <w:rsid w:val="006F3CF0"/>
    <w:rsid w:val="006F5A78"/>
    <w:rsid w:val="00700D2C"/>
    <w:rsid w:val="00702384"/>
    <w:rsid w:val="00704C95"/>
    <w:rsid w:val="00712C79"/>
    <w:rsid w:val="00716ACF"/>
    <w:rsid w:val="00720709"/>
    <w:rsid w:val="007234B7"/>
    <w:rsid w:val="00726672"/>
    <w:rsid w:val="00731594"/>
    <w:rsid w:val="00733491"/>
    <w:rsid w:val="00735EE9"/>
    <w:rsid w:val="0074009A"/>
    <w:rsid w:val="00746CC7"/>
    <w:rsid w:val="007525C6"/>
    <w:rsid w:val="007536D0"/>
    <w:rsid w:val="007570FB"/>
    <w:rsid w:val="00764571"/>
    <w:rsid w:val="007657DA"/>
    <w:rsid w:val="00766AD8"/>
    <w:rsid w:val="007707DF"/>
    <w:rsid w:val="007778A6"/>
    <w:rsid w:val="00780AC4"/>
    <w:rsid w:val="00781BD2"/>
    <w:rsid w:val="0078280D"/>
    <w:rsid w:val="00784C8E"/>
    <w:rsid w:val="00785F99"/>
    <w:rsid w:val="0078615F"/>
    <w:rsid w:val="00786F9C"/>
    <w:rsid w:val="007878C6"/>
    <w:rsid w:val="00790685"/>
    <w:rsid w:val="0079117C"/>
    <w:rsid w:val="007945F8"/>
    <w:rsid w:val="00795E76"/>
    <w:rsid w:val="007A0724"/>
    <w:rsid w:val="007A0A43"/>
    <w:rsid w:val="007A3C9D"/>
    <w:rsid w:val="007A6157"/>
    <w:rsid w:val="007A6AB8"/>
    <w:rsid w:val="007B2354"/>
    <w:rsid w:val="007B40A1"/>
    <w:rsid w:val="007B74B0"/>
    <w:rsid w:val="007C11D9"/>
    <w:rsid w:val="007C17AD"/>
    <w:rsid w:val="007C2999"/>
    <w:rsid w:val="007D4344"/>
    <w:rsid w:val="007D4690"/>
    <w:rsid w:val="007D7DBD"/>
    <w:rsid w:val="007E1A5D"/>
    <w:rsid w:val="007E1D55"/>
    <w:rsid w:val="007E2628"/>
    <w:rsid w:val="007E62A8"/>
    <w:rsid w:val="007F2E8C"/>
    <w:rsid w:val="007F51DB"/>
    <w:rsid w:val="007F7289"/>
    <w:rsid w:val="007F7A45"/>
    <w:rsid w:val="00801AD5"/>
    <w:rsid w:val="00804166"/>
    <w:rsid w:val="008079F1"/>
    <w:rsid w:val="00807F11"/>
    <w:rsid w:val="00811855"/>
    <w:rsid w:val="00812DC1"/>
    <w:rsid w:val="0081470D"/>
    <w:rsid w:val="00814CC2"/>
    <w:rsid w:val="00826B1B"/>
    <w:rsid w:val="00831B78"/>
    <w:rsid w:val="0083420E"/>
    <w:rsid w:val="00834633"/>
    <w:rsid w:val="008358FB"/>
    <w:rsid w:val="0084081B"/>
    <w:rsid w:val="008415CC"/>
    <w:rsid w:val="00843B6E"/>
    <w:rsid w:val="00843E91"/>
    <w:rsid w:val="0085198D"/>
    <w:rsid w:val="00853A17"/>
    <w:rsid w:val="00860052"/>
    <w:rsid w:val="008615C9"/>
    <w:rsid w:val="00862C01"/>
    <w:rsid w:val="00866758"/>
    <w:rsid w:val="0088038D"/>
    <w:rsid w:val="00882289"/>
    <w:rsid w:val="008829B3"/>
    <w:rsid w:val="008874AA"/>
    <w:rsid w:val="008A17FB"/>
    <w:rsid w:val="008A1EE4"/>
    <w:rsid w:val="008A2655"/>
    <w:rsid w:val="008A2711"/>
    <w:rsid w:val="008A2D0B"/>
    <w:rsid w:val="008A4F17"/>
    <w:rsid w:val="008B4998"/>
    <w:rsid w:val="008B5B77"/>
    <w:rsid w:val="008B618B"/>
    <w:rsid w:val="008C1E3E"/>
    <w:rsid w:val="008D095E"/>
    <w:rsid w:val="008D2F1D"/>
    <w:rsid w:val="008D3261"/>
    <w:rsid w:val="008D6558"/>
    <w:rsid w:val="008E26BC"/>
    <w:rsid w:val="008E4C34"/>
    <w:rsid w:val="008E53DC"/>
    <w:rsid w:val="008E6B49"/>
    <w:rsid w:val="009006D8"/>
    <w:rsid w:val="009029F4"/>
    <w:rsid w:val="00903A66"/>
    <w:rsid w:val="00904D5A"/>
    <w:rsid w:val="00905B14"/>
    <w:rsid w:val="00905E05"/>
    <w:rsid w:val="00910887"/>
    <w:rsid w:val="00910BD9"/>
    <w:rsid w:val="00912580"/>
    <w:rsid w:val="00912601"/>
    <w:rsid w:val="00915403"/>
    <w:rsid w:val="00917B06"/>
    <w:rsid w:val="0092137B"/>
    <w:rsid w:val="00922BC4"/>
    <w:rsid w:val="0092533E"/>
    <w:rsid w:val="00943177"/>
    <w:rsid w:val="00947EAB"/>
    <w:rsid w:val="00950EDB"/>
    <w:rsid w:val="00951192"/>
    <w:rsid w:val="00953A15"/>
    <w:rsid w:val="009552D3"/>
    <w:rsid w:val="00956ECD"/>
    <w:rsid w:val="0096294C"/>
    <w:rsid w:val="0096346F"/>
    <w:rsid w:val="00983866"/>
    <w:rsid w:val="00983868"/>
    <w:rsid w:val="00983D74"/>
    <w:rsid w:val="0099080D"/>
    <w:rsid w:val="0099139D"/>
    <w:rsid w:val="00991557"/>
    <w:rsid w:val="009949FE"/>
    <w:rsid w:val="0099532E"/>
    <w:rsid w:val="0099603D"/>
    <w:rsid w:val="0099678C"/>
    <w:rsid w:val="009A5D3E"/>
    <w:rsid w:val="009A6AD2"/>
    <w:rsid w:val="009B78B4"/>
    <w:rsid w:val="009C054D"/>
    <w:rsid w:val="009C07C6"/>
    <w:rsid w:val="009C0C60"/>
    <w:rsid w:val="009C7073"/>
    <w:rsid w:val="009D0D51"/>
    <w:rsid w:val="009D30E6"/>
    <w:rsid w:val="009D33DC"/>
    <w:rsid w:val="009D6740"/>
    <w:rsid w:val="009F6F3F"/>
    <w:rsid w:val="00A0199C"/>
    <w:rsid w:val="00A02EE2"/>
    <w:rsid w:val="00A03134"/>
    <w:rsid w:val="00A040ED"/>
    <w:rsid w:val="00A16075"/>
    <w:rsid w:val="00A16289"/>
    <w:rsid w:val="00A20834"/>
    <w:rsid w:val="00A20D56"/>
    <w:rsid w:val="00A23C12"/>
    <w:rsid w:val="00A30167"/>
    <w:rsid w:val="00A319BE"/>
    <w:rsid w:val="00A34196"/>
    <w:rsid w:val="00A4274F"/>
    <w:rsid w:val="00A438F9"/>
    <w:rsid w:val="00A44C69"/>
    <w:rsid w:val="00A45BF1"/>
    <w:rsid w:val="00A46C55"/>
    <w:rsid w:val="00A54C1E"/>
    <w:rsid w:val="00A566E1"/>
    <w:rsid w:val="00A5738A"/>
    <w:rsid w:val="00A62DAA"/>
    <w:rsid w:val="00A632BF"/>
    <w:rsid w:val="00A67048"/>
    <w:rsid w:val="00A710F5"/>
    <w:rsid w:val="00A71443"/>
    <w:rsid w:val="00A72EF9"/>
    <w:rsid w:val="00A73015"/>
    <w:rsid w:val="00A74020"/>
    <w:rsid w:val="00A75114"/>
    <w:rsid w:val="00A75DCC"/>
    <w:rsid w:val="00A80D31"/>
    <w:rsid w:val="00A8551A"/>
    <w:rsid w:val="00A86F2B"/>
    <w:rsid w:val="00A8712A"/>
    <w:rsid w:val="00A92E44"/>
    <w:rsid w:val="00A968D9"/>
    <w:rsid w:val="00A970C4"/>
    <w:rsid w:val="00A97DFA"/>
    <w:rsid w:val="00AA0265"/>
    <w:rsid w:val="00AA212F"/>
    <w:rsid w:val="00AA64CB"/>
    <w:rsid w:val="00AA772B"/>
    <w:rsid w:val="00AB1BCE"/>
    <w:rsid w:val="00AB516F"/>
    <w:rsid w:val="00AB615B"/>
    <w:rsid w:val="00AB7CF8"/>
    <w:rsid w:val="00AC2D40"/>
    <w:rsid w:val="00AC531C"/>
    <w:rsid w:val="00AC5E50"/>
    <w:rsid w:val="00AD1E3B"/>
    <w:rsid w:val="00AD4153"/>
    <w:rsid w:val="00AD5321"/>
    <w:rsid w:val="00AD586E"/>
    <w:rsid w:val="00AE06D5"/>
    <w:rsid w:val="00AE2ABE"/>
    <w:rsid w:val="00AE3A46"/>
    <w:rsid w:val="00AE4CEF"/>
    <w:rsid w:val="00AE50A3"/>
    <w:rsid w:val="00AE7A02"/>
    <w:rsid w:val="00AF4FB1"/>
    <w:rsid w:val="00B0059C"/>
    <w:rsid w:val="00B058C5"/>
    <w:rsid w:val="00B065EB"/>
    <w:rsid w:val="00B06719"/>
    <w:rsid w:val="00B06983"/>
    <w:rsid w:val="00B17297"/>
    <w:rsid w:val="00B17524"/>
    <w:rsid w:val="00B20EA8"/>
    <w:rsid w:val="00B2233D"/>
    <w:rsid w:val="00B225A6"/>
    <w:rsid w:val="00B22678"/>
    <w:rsid w:val="00B241B7"/>
    <w:rsid w:val="00B24408"/>
    <w:rsid w:val="00B300CE"/>
    <w:rsid w:val="00B32CF9"/>
    <w:rsid w:val="00B32FC5"/>
    <w:rsid w:val="00B33E54"/>
    <w:rsid w:val="00B34389"/>
    <w:rsid w:val="00B36D2C"/>
    <w:rsid w:val="00B40FB8"/>
    <w:rsid w:val="00B42B3D"/>
    <w:rsid w:val="00B437D5"/>
    <w:rsid w:val="00B451B4"/>
    <w:rsid w:val="00B542D0"/>
    <w:rsid w:val="00B618FF"/>
    <w:rsid w:val="00B62C4C"/>
    <w:rsid w:val="00B65C84"/>
    <w:rsid w:val="00B73A6B"/>
    <w:rsid w:val="00B74423"/>
    <w:rsid w:val="00B7489E"/>
    <w:rsid w:val="00B74D4E"/>
    <w:rsid w:val="00B74E85"/>
    <w:rsid w:val="00B75323"/>
    <w:rsid w:val="00B75FAA"/>
    <w:rsid w:val="00B81237"/>
    <w:rsid w:val="00B82706"/>
    <w:rsid w:val="00B9122D"/>
    <w:rsid w:val="00B92BF6"/>
    <w:rsid w:val="00B92FB9"/>
    <w:rsid w:val="00B9653A"/>
    <w:rsid w:val="00B97121"/>
    <w:rsid w:val="00BA2EE8"/>
    <w:rsid w:val="00BA6DDF"/>
    <w:rsid w:val="00BA758F"/>
    <w:rsid w:val="00BB3DBC"/>
    <w:rsid w:val="00BB4C5B"/>
    <w:rsid w:val="00BB5948"/>
    <w:rsid w:val="00BB6E45"/>
    <w:rsid w:val="00BC0CF2"/>
    <w:rsid w:val="00BC402A"/>
    <w:rsid w:val="00BC5FBA"/>
    <w:rsid w:val="00BC72CF"/>
    <w:rsid w:val="00BC7546"/>
    <w:rsid w:val="00BD09ED"/>
    <w:rsid w:val="00BD19A2"/>
    <w:rsid w:val="00BD3C4D"/>
    <w:rsid w:val="00BD5130"/>
    <w:rsid w:val="00BD69A2"/>
    <w:rsid w:val="00BD7ADA"/>
    <w:rsid w:val="00BE0546"/>
    <w:rsid w:val="00BE17F6"/>
    <w:rsid w:val="00BE2C1A"/>
    <w:rsid w:val="00BE4E00"/>
    <w:rsid w:val="00BF13ED"/>
    <w:rsid w:val="00BF3A94"/>
    <w:rsid w:val="00BF439B"/>
    <w:rsid w:val="00BF4F04"/>
    <w:rsid w:val="00BF508D"/>
    <w:rsid w:val="00BF5209"/>
    <w:rsid w:val="00BF5A95"/>
    <w:rsid w:val="00BF61A9"/>
    <w:rsid w:val="00BF7DC7"/>
    <w:rsid w:val="00C039F1"/>
    <w:rsid w:val="00C11860"/>
    <w:rsid w:val="00C12B77"/>
    <w:rsid w:val="00C155D0"/>
    <w:rsid w:val="00C165AA"/>
    <w:rsid w:val="00C172A2"/>
    <w:rsid w:val="00C207F7"/>
    <w:rsid w:val="00C243FF"/>
    <w:rsid w:val="00C31772"/>
    <w:rsid w:val="00C31977"/>
    <w:rsid w:val="00C31ECF"/>
    <w:rsid w:val="00C36AED"/>
    <w:rsid w:val="00C372C7"/>
    <w:rsid w:val="00C423D5"/>
    <w:rsid w:val="00C42809"/>
    <w:rsid w:val="00C44AE8"/>
    <w:rsid w:val="00C4539F"/>
    <w:rsid w:val="00C46B35"/>
    <w:rsid w:val="00C47B09"/>
    <w:rsid w:val="00C504E0"/>
    <w:rsid w:val="00C50FDA"/>
    <w:rsid w:val="00C52BF6"/>
    <w:rsid w:val="00C57044"/>
    <w:rsid w:val="00C57F44"/>
    <w:rsid w:val="00C6096A"/>
    <w:rsid w:val="00C73EEC"/>
    <w:rsid w:val="00C75E1E"/>
    <w:rsid w:val="00C842D5"/>
    <w:rsid w:val="00C84845"/>
    <w:rsid w:val="00C8555C"/>
    <w:rsid w:val="00C862D8"/>
    <w:rsid w:val="00C86972"/>
    <w:rsid w:val="00C8746A"/>
    <w:rsid w:val="00C87C39"/>
    <w:rsid w:val="00C94550"/>
    <w:rsid w:val="00C96412"/>
    <w:rsid w:val="00C9692E"/>
    <w:rsid w:val="00C97FF8"/>
    <w:rsid w:val="00CA0685"/>
    <w:rsid w:val="00CA06E3"/>
    <w:rsid w:val="00CA5B31"/>
    <w:rsid w:val="00CB0F12"/>
    <w:rsid w:val="00CB3842"/>
    <w:rsid w:val="00CC0F6D"/>
    <w:rsid w:val="00CC311C"/>
    <w:rsid w:val="00CC380D"/>
    <w:rsid w:val="00CD2B03"/>
    <w:rsid w:val="00CE17A4"/>
    <w:rsid w:val="00CE40AF"/>
    <w:rsid w:val="00CE7F07"/>
    <w:rsid w:val="00CF109A"/>
    <w:rsid w:val="00CF147D"/>
    <w:rsid w:val="00CF5C2E"/>
    <w:rsid w:val="00CF5D97"/>
    <w:rsid w:val="00CF5FAC"/>
    <w:rsid w:val="00CF6C25"/>
    <w:rsid w:val="00CF776A"/>
    <w:rsid w:val="00D003DC"/>
    <w:rsid w:val="00D0159B"/>
    <w:rsid w:val="00D07A44"/>
    <w:rsid w:val="00D10C21"/>
    <w:rsid w:val="00D11BEF"/>
    <w:rsid w:val="00D22071"/>
    <w:rsid w:val="00D22733"/>
    <w:rsid w:val="00D267A5"/>
    <w:rsid w:val="00D27651"/>
    <w:rsid w:val="00D328D8"/>
    <w:rsid w:val="00D37665"/>
    <w:rsid w:val="00D52B9C"/>
    <w:rsid w:val="00D5691A"/>
    <w:rsid w:val="00D6202F"/>
    <w:rsid w:val="00D63495"/>
    <w:rsid w:val="00D64B92"/>
    <w:rsid w:val="00D65216"/>
    <w:rsid w:val="00D6533C"/>
    <w:rsid w:val="00D70264"/>
    <w:rsid w:val="00D7059D"/>
    <w:rsid w:val="00D72199"/>
    <w:rsid w:val="00D75A79"/>
    <w:rsid w:val="00D75CB5"/>
    <w:rsid w:val="00D77405"/>
    <w:rsid w:val="00D80A4F"/>
    <w:rsid w:val="00D82F23"/>
    <w:rsid w:val="00D84121"/>
    <w:rsid w:val="00D85AC2"/>
    <w:rsid w:val="00D87418"/>
    <w:rsid w:val="00D87947"/>
    <w:rsid w:val="00D90FD2"/>
    <w:rsid w:val="00D95020"/>
    <w:rsid w:val="00D97794"/>
    <w:rsid w:val="00DA048E"/>
    <w:rsid w:val="00DA3BB0"/>
    <w:rsid w:val="00DA5C6D"/>
    <w:rsid w:val="00DB42DD"/>
    <w:rsid w:val="00DB45D0"/>
    <w:rsid w:val="00DB4DFF"/>
    <w:rsid w:val="00DB58A3"/>
    <w:rsid w:val="00DB608E"/>
    <w:rsid w:val="00DB7CBA"/>
    <w:rsid w:val="00DC65A3"/>
    <w:rsid w:val="00DC7DC7"/>
    <w:rsid w:val="00DD3D83"/>
    <w:rsid w:val="00DE4E84"/>
    <w:rsid w:val="00DE63F5"/>
    <w:rsid w:val="00DE6489"/>
    <w:rsid w:val="00DF1D3F"/>
    <w:rsid w:val="00DF22D0"/>
    <w:rsid w:val="00DF5A33"/>
    <w:rsid w:val="00E00968"/>
    <w:rsid w:val="00E015BD"/>
    <w:rsid w:val="00E0298F"/>
    <w:rsid w:val="00E13663"/>
    <w:rsid w:val="00E13D2A"/>
    <w:rsid w:val="00E21B09"/>
    <w:rsid w:val="00E23074"/>
    <w:rsid w:val="00E2479E"/>
    <w:rsid w:val="00E254AE"/>
    <w:rsid w:val="00E26157"/>
    <w:rsid w:val="00E266D6"/>
    <w:rsid w:val="00E278C8"/>
    <w:rsid w:val="00E279E7"/>
    <w:rsid w:val="00E31F91"/>
    <w:rsid w:val="00E34BD2"/>
    <w:rsid w:val="00E36B77"/>
    <w:rsid w:val="00E43531"/>
    <w:rsid w:val="00E448F3"/>
    <w:rsid w:val="00E44F94"/>
    <w:rsid w:val="00E454CA"/>
    <w:rsid w:val="00E53E8C"/>
    <w:rsid w:val="00E57D69"/>
    <w:rsid w:val="00E60201"/>
    <w:rsid w:val="00E60E76"/>
    <w:rsid w:val="00E63DFE"/>
    <w:rsid w:val="00E64C19"/>
    <w:rsid w:val="00E7084D"/>
    <w:rsid w:val="00E72C30"/>
    <w:rsid w:val="00E7765C"/>
    <w:rsid w:val="00E813F2"/>
    <w:rsid w:val="00E816B2"/>
    <w:rsid w:val="00E91158"/>
    <w:rsid w:val="00E911B6"/>
    <w:rsid w:val="00E93C49"/>
    <w:rsid w:val="00E93DCE"/>
    <w:rsid w:val="00EA5297"/>
    <w:rsid w:val="00EA6A25"/>
    <w:rsid w:val="00EB4BA6"/>
    <w:rsid w:val="00EB7ABF"/>
    <w:rsid w:val="00EC50CF"/>
    <w:rsid w:val="00ED0A7D"/>
    <w:rsid w:val="00ED2AC0"/>
    <w:rsid w:val="00ED43DC"/>
    <w:rsid w:val="00ED7123"/>
    <w:rsid w:val="00EE10F9"/>
    <w:rsid w:val="00EE2B4D"/>
    <w:rsid w:val="00EE2EAD"/>
    <w:rsid w:val="00EE47C3"/>
    <w:rsid w:val="00EF08D6"/>
    <w:rsid w:val="00F03000"/>
    <w:rsid w:val="00F044C5"/>
    <w:rsid w:val="00F156BF"/>
    <w:rsid w:val="00F21816"/>
    <w:rsid w:val="00F21EA1"/>
    <w:rsid w:val="00F22FE2"/>
    <w:rsid w:val="00F26636"/>
    <w:rsid w:val="00F37042"/>
    <w:rsid w:val="00F417FB"/>
    <w:rsid w:val="00F43669"/>
    <w:rsid w:val="00F45BA6"/>
    <w:rsid w:val="00F46333"/>
    <w:rsid w:val="00F52C86"/>
    <w:rsid w:val="00F54B70"/>
    <w:rsid w:val="00F57898"/>
    <w:rsid w:val="00F60997"/>
    <w:rsid w:val="00F6507E"/>
    <w:rsid w:val="00F65644"/>
    <w:rsid w:val="00F65927"/>
    <w:rsid w:val="00F65CF0"/>
    <w:rsid w:val="00F73A2E"/>
    <w:rsid w:val="00F73AAA"/>
    <w:rsid w:val="00F80678"/>
    <w:rsid w:val="00F80BF4"/>
    <w:rsid w:val="00F82A90"/>
    <w:rsid w:val="00F83E64"/>
    <w:rsid w:val="00F847CA"/>
    <w:rsid w:val="00F87553"/>
    <w:rsid w:val="00FA370F"/>
    <w:rsid w:val="00FB0E77"/>
    <w:rsid w:val="00FB2587"/>
    <w:rsid w:val="00FB589D"/>
    <w:rsid w:val="00FC203F"/>
    <w:rsid w:val="00FC32C6"/>
    <w:rsid w:val="00FC3840"/>
    <w:rsid w:val="00FC38DD"/>
    <w:rsid w:val="00FC5808"/>
    <w:rsid w:val="00FC5989"/>
    <w:rsid w:val="00FD6539"/>
    <w:rsid w:val="00FE0C64"/>
    <w:rsid w:val="00FE4840"/>
    <w:rsid w:val="00FF1559"/>
    <w:rsid w:val="0A5C1463"/>
    <w:rsid w:val="1230784B"/>
    <w:rsid w:val="1BC248AD"/>
    <w:rsid w:val="27A54F37"/>
    <w:rsid w:val="31EF099A"/>
    <w:rsid w:val="328D2AA4"/>
    <w:rsid w:val="3525720E"/>
    <w:rsid w:val="3A034FB4"/>
    <w:rsid w:val="3A9D001C"/>
    <w:rsid w:val="3B837FE9"/>
    <w:rsid w:val="431063AB"/>
    <w:rsid w:val="484F3AB6"/>
    <w:rsid w:val="5549751E"/>
    <w:rsid w:val="55F1725F"/>
    <w:rsid w:val="5A904D09"/>
    <w:rsid w:val="5C63200C"/>
    <w:rsid w:val="6CD76BDA"/>
    <w:rsid w:val="768C584C"/>
  </w:rsids>
  <m:mathPr>
    <m:mathFont m:val="Cambria Math"/>
    <m:brkBin m:val="before"/>
    <m:brkBinSub m:val="--"/>
    <m:smallFrac m:val="0"/>
    <m:dispDef/>
    <m:lMargin m:val="0"/>
    <m:rMargin m:val="0"/>
    <m:defJc m:val="centerGroup"/>
    <m:wrapIndent m:val="1440"/>
    <m:intLim m:val="subSup"/>
    <m:naryLim m:val="undOvr"/>
  </m:mathPr>
  <w:doNotAutoCompressPictures/>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qFormat/>
    <w:uiPriority w:val="99"/>
    <w:pPr>
      <w:spacing w:after="0" w:line="240" w:lineRule="auto"/>
    </w:pPr>
    <w:rPr>
      <w:rFonts w:ascii="Segoe UI" w:hAnsi="Segoe UI"/>
      <w:sz w:val="18"/>
      <w:szCs w:val="18"/>
    </w:rPr>
  </w:style>
  <w:style w:type="character" w:styleId="5">
    <w:name w:val="annotation reference"/>
    <w:semiHidden/>
    <w:qFormat/>
    <w:uiPriority w:val="99"/>
    <w:rPr>
      <w:rFonts w:cs="Times New Roman"/>
      <w:sz w:val="16"/>
      <w:szCs w:val="16"/>
    </w:rPr>
  </w:style>
  <w:style w:type="paragraph" w:styleId="6">
    <w:name w:val="annotation text"/>
    <w:basedOn w:val="1"/>
    <w:link w:val="16"/>
    <w:semiHidden/>
    <w:qFormat/>
    <w:uiPriority w:val="99"/>
    <w:pPr>
      <w:spacing w:line="240" w:lineRule="auto"/>
    </w:pPr>
    <w:rPr>
      <w:sz w:val="20"/>
      <w:szCs w:val="20"/>
    </w:rPr>
  </w:style>
  <w:style w:type="paragraph" w:styleId="7">
    <w:name w:val="annotation subject"/>
    <w:basedOn w:val="6"/>
    <w:next w:val="6"/>
    <w:link w:val="17"/>
    <w:semiHidden/>
    <w:qFormat/>
    <w:uiPriority w:val="99"/>
    <w:rPr>
      <w:b/>
      <w:bCs/>
    </w:rPr>
  </w:style>
  <w:style w:type="character" w:styleId="8">
    <w:name w:val="FollowedHyperlink"/>
    <w:basedOn w:val="2"/>
    <w:semiHidden/>
    <w:unhideWhenUsed/>
    <w:qFormat/>
    <w:uiPriority w:val="99"/>
    <w:rPr>
      <w:color w:val="800080" w:themeColor="followedHyperlink"/>
      <w:u w:val="single"/>
      <w14:textFill>
        <w14:solidFill>
          <w14:schemeClr w14:val="folHlink"/>
        </w14:solidFill>
      </w14:textFill>
    </w:rPr>
  </w:style>
  <w:style w:type="paragraph" w:styleId="9">
    <w:name w:val="footer"/>
    <w:basedOn w:val="1"/>
    <w:link w:val="14"/>
    <w:qFormat/>
    <w:uiPriority w:val="99"/>
    <w:pPr>
      <w:tabs>
        <w:tab w:val="center" w:pos="4513"/>
        <w:tab w:val="right" w:pos="9026"/>
      </w:tabs>
      <w:spacing w:after="0" w:line="240" w:lineRule="auto"/>
    </w:pPr>
    <w:rPr>
      <w:sz w:val="20"/>
      <w:szCs w:val="20"/>
    </w:rPr>
  </w:style>
  <w:style w:type="paragraph" w:styleId="10">
    <w:name w:val="header"/>
    <w:basedOn w:val="1"/>
    <w:link w:val="13"/>
    <w:qFormat/>
    <w:uiPriority w:val="0"/>
    <w:pPr>
      <w:tabs>
        <w:tab w:val="center" w:pos="4513"/>
        <w:tab w:val="right" w:pos="9026"/>
      </w:tabs>
      <w:spacing w:after="0" w:line="240" w:lineRule="auto"/>
    </w:pPr>
    <w:rPr>
      <w:sz w:val="20"/>
      <w:szCs w:val="20"/>
    </w:rPr>
  </w:style>
  <w:style w:type="character" w:styleId="11">
    <w:name w:val="Hyperlink"/>
    <w:basedOn w:val="2"/>
    <w:unhideWhenUsed/>
    <w:qFormat/>
    <w:uiPriority w:val="99"/>
    <w:rPr>
      <w:color w:val="0000FF"/>
      <w:u w:val="single"/>
    </w:rPr>
  </w:style>
  <w:style w:type="paragraph" w:styleId="12">
    <w:name w:val="Normal (Web)"/>
    <w:basedOn w:val="1"/>
    <w:qFormat/>
    <w:uiPriority w:val="99"/>
    <w:pPr>
      <w:spacing w:before="100" w:beforeAutospacing="1" w:after="100" w:afterAutospacing="1" w:line="240" w:lineRule="auto"/>
    </w:pPr>
    <w:rPr>
      <w:rFonts w:ascii="Times New Roman" w:hAnsi="Times New Roman" w:eastAsia="Times New Roman"/>
      <w:sz w:val="24"/>
      <w:szCs w:val="24"/>
      <w:lang w:eastAsia="hr-HR"/>
    </w:rPr>
  </w:style>
  <w:style w:type="character" w:customStyle="1" w:styleId="13">
    <w:name w:val="Header Char"/>
    <w:link w:val="10"/>
    <w:qFormat/>
    <w:locked/>
    <w:uiPriority w:val="0"/>
    <w:rPr>
      <w:rFonts w:cs="Times New Roman"/>
    </w:rPr>
  </w:style>
  <w:style w:type="character" w:customStyle="1" w:styleId="14">
    <w:name w:val="Footer Char"/>
    <w:link w:val="9"/>
    <w:qFormat/>
    <w:locked/>
    <w:uiPriority w:val="99"/>
    <w:rPr>
      <w:rFonts w:cs="Times New Roman"/>
    </w:rPr>
  </w:style>
  <w:style w:type="character" w:customStyle="1" w:styleId="15">
    <w:name w:val="Balloon Text Char"/>
    <w:link w:val="4"/>
    <w:semiHidden/>
    <w:qFormat/>
    <w:locked/>
    <w:uiPriority w:val="99"/>
    <w:rPr>
      <w:rFonts w:ascii="Segoe UI" w:hAnsi="Segoe UI" w:cs="Segoe UI"/>
      <w:sz w:val="18"/>
      <w:szCs w:val="18"/>
    </w:rPr>
  </w:style>
  <w:style w:type="character" w:customStyle="1" w:styleId="16">
    <w:name w:val="Comment Text Char"/>
    <w:link w:val="6"/>
    <w:semiHidden/>
    <w:qFormat/>
    <w:locked/>
    <w:uiPriority w:val="99"/>
    <w:rPr>
      <w:rFonts w:cs="Times New Roman"/>
      <w:sz w:val="20"/>
      <w:szCs w:val="20"/>
    </w:rPr>
  </w:style>
  <w:style w:type="character" w:customStyle="1" w:styleId="17">
    <w:name w:val="Comment Subject Char"/>
    <w:link w:val="7"/>
    <w:semiHidden/>
    <w:qFormat/>
    <w:locked/>
    <w:uiPriority w:val="99"/>
    <w:rPr>
      <w:rFonts w:cs="Times New Roman"/>
      <w:b/>
      <w:bCs/>
      <w:sz w:val="20"/>
      <w:szCs w:val="20"/>
    </w:rPr>
  </w:style>
  <w:style w:type="paragraph" w:styleId="18">
    <w:name w:val="List Paragraph"/>
    <w:basedOn w:val="1"/>
    <w:qFormat/>
    <w:uiPriority w:val="34"/>
    <w:pPr>
      <w:ind w:left="708"/>
    </w:pPr>
  </w:style>
  <w:style w:type="character" w:customStyle="1" w:styleId="19">
    <w:name w:val="Unresolved Mention"/>
    <w:basedOn w:val="2"/>
    <w:semiHidden/>
    <w:unhideWhenUsed/>
    <w:qFormat/>
    <w:uiPriority w:val="99"/>
    <w:rPr>
      <w:color w:val="605E5C"/>
      <w:shd w:val="clear" w:color="auto" w:fill="E1DFDD"/>
    </w:rPr>
  </w:style>
  <w:style w:type="character" w:customStyle="1" w:styleId="20">
    <w:name w:val="font21"/>
    <w:qFormat/>
    <w:uiPriority w:val="0"/>
    <w:rPr>
      <w:rFonts w:ascii="Aharoni" w:hAnsi="Aharoni" w:eastAsia="Aharoni" w:cs="Aharoni"/>
      <w:b/>
      <w:bCs/>
      <w:color w:val="00000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850FC1-B41C-4496-83F9-F2FBEEE679D1}">
  <ds:schemaRefs/>
</ds:datastoreItem>
</file>

<file path=docProps/app.xml><?xml version="1.0" encoding="utf-8"?>
<Properties xmlns="http://schemas.openxmlformats.org/officeDocument/2006/extended-properties" xmlns:vt="http://schemas.openxmlformats.org/officeDocument/2006/docPropsVTypes">
  <Template>Normal</Template>
  <Pages>7</Pages>
  <Words>2292</Words>
  <Characters>13431</Characters>
  <Lines>114</Lines>
  <Paragraphs>32</Paragraphs>
  <TotalTime>38</TotalTime>
  <ScaleCrop>false</ScaleCrop>
  <LinksUpToDate>false</LinksUpToDate>
  <CharactersWithSpaces>16282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2022-07-04T10:10:00Z</dcterms:created>
  <dc:creator>Krajina Dario</dc:creator>
  <cp:lastModifiedBy>Antonia Marjanović</cp:lastModifiedBy>
  <cp:lastPrinted>2026-10-08T07:44:10Z</cp:lastPrinted>
  <dcterms:modified xsi:type="dcterms:W3CDTF">2026-10-08T07:54:28Z</dcterms:modified>
  <dc:title>Na temelju Odluke o obavljanju komunalne djelatnosti tržnice na malo na području Grada Rijeke („Službene novine Grada Rijeke“ broj 3/17) kojom je komunalna djelatnost tržnice na malo povjerena na upravljanje trgovačkom društvu RIJEKA PLUS d</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3EDA52D0B9A6470F8CAF4704555E5333_13</vt:lpwstr>
  </property>
  <property fmtid="{D5CDD505-2E9C-101B-9397-08002B2CF9AE}" pid="4" name="KSOTemplateDocerSaveRecord">
    <vt:lpwstr>eyJoZGlkIjoiYjVmOWI4MzIzMTBiOGZiMWZjZTI3YzYwMjIwZmJiMzUiLCJ1c2VySWQiOiIxMDA1MDY3NTgyODg3MCJ9</vt:lpwstr>
  </property>
</Properties>
</file>